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rPr>
          <w:rFonts w:hint="eastAsia"/>
          <w:color w:val="auto"/>
          <w:highlight w:val="none"/>
        </w:rPr>
      </w:pPr>
      <w:bookmarkStart w:id="0" w:name="_Toc456268221"/>
      <w:bookmarkStart w:id="1" w:name="_Toc456268536"/>
      <w:bookmarkStart w:id="2" w:name="_Toc456268644"/>
    </w:p>
    <w:p>
      <w:pPr>
        <w:rPr>
          <w:rFonts w:hint="eastAsia"/>
          <w:color w:val="auto"/>
          <w:highlight w:val="none"/>
        </w:rPr>
      </w:pPr>
    </w:p>
    <w:p>
      <w:pPr>
        <w:pStyle w:val="9"/>
        <w:rPr>
          <w:rFonts w:hint="eastAsia"/>
          <w:color w:val="auto"/>
          <w:highlight w:val="none"/>
        </w:rPr>
      </w:pPr>
    </w:p>
    <w:p>
      <w:pPr>
        <w:rPr>
          <w:rFonts w:hint="eastAsia"/>
        </w:rPr>
      </w:pPr>
    </w:p>
    <w:bookmarkEnd w:id="0"/>
    <w:bookmarkEnd w:id="1"/>
    <w:bookmarkEnd w:id="2"/>
    <w:p>
      <w:pPr>
        <w:jc w:val="center"/>
        <w:outlineLvl w:val="0"/>
        <w:rPr>
          <w:rFonts w:hint="eastAsia" w:ascii="仿宋" w:hAnsi="仿宋" w:eastAsia="仿宋" w:cs="仿宋"/>
          <w:b/>
          <w:bCs/>
          <w:color w:val="auto"/>
          <w:spacing w:val="80"/>
          <w:sz w:val="100"/>
          <w:highlight w:val="none"/>
        </w:rPr>
      </w:pPr>
      <w:bookmarkStart w:id="3" w:name="_Toc27524"/>
      <w:bookmarkStart w:id="4" w:name="_Toc5447"/>
      <w:bookmarkStart w:id="5" w:name="_Toc8647"/>
      <w:r>
        <w:rPr>
          <w:rFonts w:hint="eastAsia" w:ascii="仿宋" w:hAnsi="仿宋" w:eastAsia="仿宋" w:cs="仿宋"/>
          <w:b/>
          <w:bCs/>
          <w:color w:val="auto"/>
          <w:spacing w:val="80"/>
          <w:sz w:val="100"/>
          <w:highlight w:val="none"/>
        </w:rPr>
        <w:t>询比通知书</w:t>
      </w:r>
      <w:bookmarkEnd w:id="3"/>
      <w:bookmarkEnd w:id="4"/>
      <w:bookmarkEnd w:id="5"/>
    </w:p>
    <w:p>
      <w:pPr>
        <w:spacing w:line="520" w:lineRule="exact"/>
        <w:rPr>
          <w:rFonts w:hint="eastAsia" w:ascii="仿宋_GB2312" w:hAnsi="宋体" w:eastAsia="仿宋_GB2312"/>
          <w:color w:val="auto"/>
          <w:sz w:val="32"/>
          <w:szCs w:val="32"/>
          <w:highlight w:val="none"/>
        </w:rPr>
      </w:pPr>
    </w:p>
    <w:p>
      <w:pPr>
        <w:spacing w:line="520" w:lineRule="exact"/>
        <w:rPr>
          <w:rFonts w:hint="eastAsia" w:ascii="仿宋_GB2312" w:hAnsi="宋体" w:eastAsia="仿宋_GB2312"/>
          <w:color w:val="auto"/>
          <w:sz w:val="32"/>
          <w:szCs w:val="32"/>
          <w:highlight w:val="none"/>
        </w:rPr>
      </w:pPr>
    </w:p>
    <w:p>
      <w:pPr>
        <w:spacing w:line="520" w:lineRule="exact"/>
        <w:rPr>
          <w:rFonts w:hint="eastAsia" w:ascii="仿宋_GB2312" w:hAnsi="宋体" w:eastAsia="仿宋_GB2312"/>
          <w:color w:val="auto"/>
          <w:sz w:val="32"/>
          <w:szCs w:val="32"/>
          <w:highlight w:val="none"/>
        </w:rPr>
      </w:pPr>
    </w:p>
    <w:p>
      <w:pPr>
        <w:spacing w:line="520" w:lineRule="exact"/>
        <w:rPr>
          <w:rFonts w:hint="eastAsia" w:ascii="仿宋_GB2312" w:hAnsi="宋体" w:eastAsia="仿宋_GB2312"/>
          <w:color w:val="auto"/>
          <w:sz w:val="32"/>
          <w:szCs w:val="32"/>
          <w:highlight w:val="none"/>
        </w:rPr>
      </w:pPr>
    </w:p>
    <w:p>
      <w:pPr>
        <w:spacing w:line="700" w:lineRule="exact"/>
        <w:ind w:left="3200" w:leftChars="912" w:hanging="1285" w:hangingChars="400"/>
        <w:rPr>
          <w:rFonts w:hint="eastAsia" w:ascii="仿宋" w:hAnsi="仿宋" w:eastAsia="仿宋" w:cs="仿宋"/>
          <w:b/>
          <w:bCs/>
          <w:color w:val="auto"/>
          <w:sz w:val="32"/>
          <w:highlight w:val="none"/>
          <w:lang w:val="en-US" w:eastAsia="zh-CN"/>
        </w:rPr>
      </w:pPr>
      <w:r>
        <w:rPr>
          <w:rFonts w:hint="eastAsia" w:ascii="仿宋" w:hAnsi="仿宋" w:eastAsia="仿宋" w:cs="仿宋"/>
          <w:b/>
          <w:bCs/>
          <w:color w:val="auto"/>
          <w:sz w:val="32"/>
          <w:szCs w:val="20"/>
          <w:highlight w:val="none"/>
        </w:rPr>
        <w:t>项目名</w:t>
      </w:r>
      <w:r>
        <w:rPr>
          <w:rFonts w:hint="eastAsia" w:ascii="仿宋" w:hAnsi="仿宋" w:eastAsia="仿宋" w:cs="仿宋"/>
          <w:b/>
          <w:bCs/>
          <w:color w:val="auto"/>
          <w:sz w:val="32"/>
          <w:highlight w:val="none"/>
        </w:rPr>
        <w:t>称：</w:t>
      </w:r>
      <w:r>
        <w:rPr>
          <w:rFonts w:hint="eastAsia" w:ascii="仿宋" w:hAnsi="仿宋" w:eastAsia="仿宋" w:cs="仿宋"/>
          <w:b/>
          <w:bCs/>
          <w:color w:val="auto"/>
          <w:sz w:val="32"/>
          <w:lang w:eastAsia="zh-CN"/>
        </w:rPr>
        <w:t>中心计量和关键设备现场检测服务</w:t>
      </w:r>
    </w:p>
    <w:p>
      <w:pPr>
        <w:spacing w:line="700" w:lineRule="exact"/>
        <w:ind w:left="3200" w:leftChars="912" w:hanging="1285" w:hangingChars="400"/>
        <w:rPr>
          <w:rFonts w:hint="eastAsia" w:ascii="仿宋" w:hAnsi="仿宋" w:eastAsia="仿宋" w:cs="仿宋"/>
          <w:color w:val="auto"/>
          <w:sz w:val="32"/>
          <w:highlight w:val="none"/>
        </w:rPr>
      </w:pPr>
      <w:r>
        <w:rPr>
          <w:rFonts w:hint="eastAsia" w:ascii="仿宋" w:hAnsi="仿宋" w:eastAsia="仿宋" w:cs="仿宋"/>
          <w:b/>
          <w:bCs/>
          <w:color w:val="auto"/>
          <w:sz w:val="32"/>
          <w:highlight w:val="none"/>
        </w:rPr>
        <w:t>采 购 人：重庆市血液中心</w:t>
      </w:r>
    </w:p>
    <w:p>
      <w:pPr>
        <w:spacing w:line="700" w:lineRule="exact"/>
        <w:ind w:left="3196" w:leftChars="760" w:hanging="1600" w:hangingChars="500"/>
        <w:rPr>
          <w:rFonts w:hint="eastAsia" w:ascii="方正小标宋_GBK" w:eastAsia="方正小标宋_GBK" w:cs="Arial"/>
          <w:color w:val="auto"/>
          <w:sz w:val="32"/>
          <w:szCs w:val="20"/>
          <w:highlight w:val="none"/>
        </w:rPr>
      </w:pPr>
    </w:p>
    <w:p>
      <w:pPr>
        <w:spacing w:line="700" w:lineRule="exact"/>
        <w:rPr>
          <w:rFonts w:hint="eastAsia" w:ascii="仿宋_GB2312" w:hAnsi="宋体" w:eastAsia="仿宋_GB2312" w:cs="方正仿宋_GBK"/>
          <w:color w:val="auto"/>
          <w:sz w:val="32"/>
          <w:szCs w:val="32"/>
          <w:highlight w:val="none"/>
        </w:rPr>
      </w:pPr>
    </w:p>
    <w:p>
      <w:pPr>
        <w:spacing w:line="700" w:lineRule="exact"/>
        <w:rPr>
          <w:rFonts w:hint="eastAsia" w:ascii="仿宋_GB2312" w:hAnsi="宋体" w:eastAsia="仿宋_GB2312" w:cs="方正仿宋_GBK"/>
          <w:color w:val="auto"/>
          <w:sz w:val="32"/>
          <w:szCs w:val="32"/>
          <w:highlight w:val="none"/>
        </w:rPr>
      </w:pPr>
      <w:r>
        <w:rPr>
          <w:rFonts w:hint="eastAsia" w:ascii="仿宋_GB2312" w:hAnsi="宋体" w:eastAsia="仿宋_GB2312" w:cs="方正仿宋_GBK"/>
          <w:color w:val="auto"/>
          <w:sz w:val="32"/>
          <w:szCs w:val="32"/>
          <w:highlight w:val="none"/>
        </w:rPr>
        <w:t xml:space="preserve">    </w:t>
      </w:r>
    </w:p>
    <w:p>
      <w:pPr>
        <w:spacing w:line="700" w:lineRule="exact"/>
        <w:jc w:val="center"/>
        <w:rPr>
          <w:rFonts w:hint="eastAsia" w:ascii="仿宋_GB2312" w:hAnsi="宋体" w:eastAsia="仿宋_GB2312"/>
          <w:color w:val="auto"/>
          <w:sz w:val="32"/>
          <w:szCs w:val="32"/>
          <w:highlight w:val="none"/>
        </w:rPr>
      </w:pPr>
    </w:p>
    <w:p>
      <w:pPr>
        <w:spacing w:line="520" w:lineRule="exact"/>
        <w:rPr>
          <w:rFonts w:hint="eastAsia" w:ascii="仿宋_GB2312" w:hAnsi="宋体" w:eastAsia="仿宋_GB2312"/>
          <w:color w:val="auto"/>
          <w:sz w:val="32"/>
          <w:szCs w:val="32"/>
          <w:highlight w:val="none"/>
        </w:rPr>
      </w:pPr>
    </w:p>
    <w:p>
      <w:pPr>
        <w:spacing w:line="520" w:lineRule="exact"/>
        <w:rPr>
          <w:rFonts w:hint="eastAsia" w:ascii="仿宋_GB2312" w:hAnsi="宋体" w:eastAsia="仿宋_GB2312"/>
          <w:b/>
          <w:bCs/>
          <w:color w:val="auto"/>
          <w:sz w:val="32"/>
          <w:szCs w:val="32"/>
          <w:highlight w:val="none"/>
        </w:rPr>
      </w:pPr>
    </w:p>
    <w:p>
      <w:pPr>
        <w:spacing w:line="700" w:lineRule="exact"/>
        <w:jc w:val="center"/>
        <w:outlineLvl w:val="0"/>
        <w:rPr>
          <w:rFonts w:hint="eastAsia" w:ascii="方正楷体_GBK" w:eastAsia="方正楷体_GBK" w:cs="Arial"/>
          <w:color w:val="auto"/>
          <w:sz w:val="32"/>
          <w:highlight w:val="none"/>
        </w:rPr>
      </w:pPr>
      <w:bookmarkStart w:id="6" w:name="_Toc6275"/>
      <w:bookmarkStart w:id="7" w:name="_Toc30073"/>
      <w:bookmarkStart w:id="8" w:name="_Toc3036"/>
      <w:r>
        <w:rPr>
          <w:rFonts w:hint="eastAsia" w:ascii="方正楷体_GBK" w:eastAsia="方正楷体_GBK" w:cs="Arial"/>
          <w:color w:val="auto"/>
          <w:sz w:val="32"/>
          <w:highlight w:val="none"/>
        </w:rPr>
        <w:t>重庆市血液中心 制</w:t>
      </w:r>
      <w:bookmarkEnd w:id="6"/>
      <w:bookmarkEnd w:id="7"/>
      <w:bookmarkEnd w:id="8"/>
    </w:p>
    <w:p>
      <w:pPr>
        <w:spacing w:line="700" w:lineRule="exact"/>
        <w:jc w:val="center"/>
        <w:outlineLvl w:val="0"/>
        <w:rPr>
          <w:rFonts w:hint="eastAsia" w:ascii="仿宋" w:hAnsi="仿宋" w:eastAsia="仿宋" w:cs="仿宋"/>
          <w:b/>
          <w:bCs/>
          <w:color w:val="auto"/>
          <w:sz w:val="32"/>
          <w:highlight w:val="none"/>
        </w:rPr>
        <w:sectPr>
          <w:headerReference r:id="rId3" w:type="first"/>
          <w:footerReference r:id="rId5" w:type="first"/>
          <w:footerReference r:id="rId4" w:type="default"/>
          <w:pgSz w:w="11907" w:h="16840"/>
          <w:pgMar w:top="1440" w:right="1797" w:bottom="1440" w:left="1797" w:header="851" w:footer="992" w:gutter="0"/>
          <w:pgBorders>
            <w:top w:val="none" w:sz="0" w:space="0"/>
            <w:left w:val="none" w:sz="0" w:space="0"/>
            <w:bottom w:val="none" w:sz="0" w:space="0"/>
            <w:right w:val="none" w:sz="0" w:space="0"/>
          </w:pgBorders>
          <w:pgNumType w:start="1"/>
          <w:cols w:space="720" w:num="1"/>
          <w:titlePg/>
          <w:docGrid w:type="lines" w:linePitch="380" w:charSpace="-5735"/>
        </w:sectPr>
      </w:pPr>
      <w:bookmarkStart w:id="9" w:name="_Toc31995"/>
      <w:bookmarkStart w:id="10" w:name="_Toc20954"/>
      <w:bookmarkStart w:id="11" w:name="_Toc13363"/>
      <w:r>
        <w:rPr>
          <w:rFonts w:hint="eastAsia" w:ascii="仿宋" w:hAnsi="仿宋" w:eastAsia="仿宋" w:cs="仿宋"/>
          <w:b/>
          <w:bCs/>
          <w:color w:val="auto"/>
          <w:sz w:val="32"/>
          <w:highlight w:val="none"/>
          <w:lang w:eastAsia="zh-CN"/>
        </w:rPr>
        <w:t>二零二六</w:t>
      </w:r>
      <w:r>
        <w:rPr>
          <w:rFonts w:hint="eastAsia" w:ascii="仿宋" w:hAnsi="仿宋" w:eastAsia="仿宋" w:cs="仿宋"/>
          <w:b/>
          <w:bCs/>
          <w:color w:val="auto"/>
          <w:sz w:val="32"/>
          <w:highlight w:val="none"/>
        </w:rPr>
        <w:t>年</w:t>
      </w:r>
      <w:r>
        <w:rPr>
          <w:rFonts w:hint="eastAsia" w:ascii="仿宋" w:hAnsi="仿宋" w:eastAsia="仿宋" w:cs="仿宋"/>
          <w:b/>
          <w:bCs/>
          <w:color w:val="auto"/>
          <w:sz w:val="32"/>
          <w:highlight w:val="none"/>
          <w:lang w:val="en-US" w:eastAsia="zh-CN"/>
        </w:rPr>
        <w:t>三</w:t>
      </w:r>
      <w:r>
        <w:rPr>
          <w:rFonts w:hint="eastAsia" w:ascii="仿宋" w:hAnsi="仿宋" w:eastAsia="仿宋" w:cs="仿宋"/>
          <w:b/>
          <w:bCs/>
          <w:color w:val="auto"/>
          <w:sz w:val="32"/>
          <w:highlight w:val="none"/>
        </w:rPr>
        <w:t>月</w:t>
      </w:r>
      <w:bookmarkEnd w:id="9"/>
      <w:bookmarkEnd w:id="10"/>
      <w:bookmarkEnd w:id="11"/>
    </w:p>
    <w:p>
      <w:pPr>
        <w:pStyle w:val="4"/>
        <w:spacing w:line="520" w:lineRule="exact"/>
        <w:jc w:val="center"/>
        <w:outlineLvl w:val="0"/>
        <w:rPr>
          <w:rFonts w:hint="eastAsia" w:ascii="仿宋" w:hAnsi="仿宋" w:eastAsia="仿宋" w:cs="仿宋"/>
          <w:color w:val="auto"/>
          <w:kern w:val="2"/>
          <w:sz w:val="44"/>
          <w:szCs w:val="44"/>
          <w:highlight w:val="none"/>
        </w:rPr>
      </w:pPr>
      <w:bookmarkStart w:id="12" w:name="_Toc11582"/>
      <w:bookmarkStart w:id="13" w:name="_Toc7369"/>
      <w:bookmarkStart w:id="14" w:name="_Toc28289"/>
      <w:bookmarkStart w:id="15" w:name="_Toc456268225"/>
      <w:bookmarkStart w:id="16" w:name="_Toc456268540"/>
      <w:bookmarkStart w:id="17" w:name="_Toc25725118"/>
      <w:bookmarkStart w:id="18" w:name="_Toc456268341"/>
      <w:bookmarkStart w:id="19" w:name="_Toc456268648"/>
      <w:bookmarkStart w:id="20" w:name="_Toc517773728"/>
      <w:r>
        <w:rPr>
          <w:rFonts w:hint="eastAsia" w:ascii="仿宋" w:hAnsi="仿宋" w:eastAsia="仿宋" w:cs="仿宋"/>
          <w:color w:val="auto"/>
          <w:kern w:val="2"/>
          <w:sz w:val="44"/>
          <w:szCs w:val="44"/>
          <w:highlight w:val="none"/>
        </w:rPr>
        <w:t>目</w:t>
      </w:r>
      <w:r>
        <w:rPr>
          <w:rFonts w:hint="eastAsia" w:ascii="仿宋" w:hAnsi="仿宋" w:eastAsia="仿宋" w:cs="仿宋"/>
          <w:color w:val="auto"/>
          <w:kern w:val="2"/>
          <w:sz w:val="44"/>
          <w:szCs w:val="44"/>
          <w:highlight w:val="none"/>
          <w:lang w:val="en-US" w:eastAsia="zh-CN"/>
        </w:rPr>
        <w:t xml:space="preserve"> </w:t>
      </w:r>
      <w:r>
        <w:rPr>
          <w:rFonts w:hint="eastAsia" w:ascii="仿宋" w:hAnsi="仿宋" w:eastAsia="仿宋" w:cs="仿宋"/>
          <w:color w:val="auto"/>
          <w:kern w:val="2"/>
          <w:sz w:val="44"/>
          <w:szCs w:val="44"/>
          <w:highlight w:val="none"/>
        </w:rPr>
        <w:t>录</w:t>
      </w:r>
      <w:bookmarkEnd w:id="12"/>
      <w:bookmarkEnd w:id="13"/>
      <w:bookmarkEnd w:id="14"/>
    </w:p>
    <w:p>
      <w:pPr>
        <w:pStyle w:val="36"/>
        <w:tabs>
          <w:tab w:val="right" w:leader="dot" w:pos="9412"/>
        </w:tabs>
        <w:rPr>
          <w:b/>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_Toc19170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第一篇  询比采购邀请书</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_Toc19170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3</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_Toc20570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一、询比内容</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_Toc20570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3</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_Toc26440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二、资金来源</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_Toc26440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3</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_Toc10944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三、投标人资格条件</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_Toc10944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3</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_Toc21263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四、有关说明</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_Toc21263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4</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_Toc12830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五、其他有关规定</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_Toc12830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4</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_Toc27962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六、联系方式</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_Toc27962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5</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47"/>
        <w:tabs>
          <w:tab w:val="right" w:leader="dot" w:pos="9412"/>
        </w:tabs>
        <w:ind w:left="0" w:leftChars="0"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_Toc17276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lang w:val="en-US" w:eastAsia="zh-CN"/>
        </w:rPr>
        <w:t>第二篇  询比项目技术（质量）需求</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_Toc17276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6</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_Toc14505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一、项目一览表</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_Toc14505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6</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_Toc30701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lang w:val="en-US" w:eastAsia="zh-CN"/>
        </w:rPr>
        <w:t>二、项目参数</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_Toc30701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6</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_Toc22143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lang w:eastAsia="zh-CN"/>
        </w:rPr>
        <w:t>三、</w:t>
      </w:r>
      <w:r>
        <w:rPr>
          <w:rFonts w:hint="eastAsia" w:ascii="仿宋" w:hAnsi="仿宋" w:eastAsia="仿宋" w:cs="仿宋"/>
          <w:b w:val="0"/>
          <w:bCs/>
          <w:color w:val="auto"/>
          <w:sz w:val="28"/>
          <w:szCs w:val="28"/>
          <w:highlight w:val="none"/>
        </w:rPr>
        <w:t>其他</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_Toc6059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第三篇  询比项目服务需求</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_Toc6059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_Toc17206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一、</w:t>
      </w:r>
      <w:r>
        <w:rPr>
          <w:rFonts w:hint="eastAsia" w:ascii="仿宋" w:hAnsi="仿宋" w:eastAsia="仿宋" w:cs="仿宋"/>
          <w:b w:val="0"/>
          <w:bCs/>
          <w:color w:val="auto"/>
          <w:sz w:val="28"/>
          <w:szCs w:val="28"/>
          <w:highlight w:val="none"/>
          <w:lang w:val="en-US" w:eastAsia="zh-CN"/>
        </w:rPr>
        <w:t>交货时间</w:t>
      </w: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_Toc13289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lang w:val="en-US" w:eastAsia="zh-CN"/>
        </w:rPr>
        <w:t>二、验收方式</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_Toc13710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lang w:val="en-US" w:eastAsia="zh-CN"/>
        </w:rPr>
        <w:t>三、付款方式.</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_Toc2795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lang w:val="en-US" w:eastAsia="zh-CN"/>
        </w:rPr>
        <w:t>四、报价要求</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_Toc9289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第四篇  采购程序、评定成交的标准、无效报价及采购终止</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_Toc9289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10</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_Toc1751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一、采购程序</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_Toc1751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10</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_Toc7599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二、评定成交的标准</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_Toc7599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11</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_Toc11764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lang w:val="en-US" w:eastAsia="zh-CN"/>
        </w:rPr>
        <w:t>三、评选方法</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lang w:val="en-US" w:eastAsia="zh-CN"/>
        </w:rPr>
        <w:t>5</w:t>
      </w:r>
    </w:p>
    <w:p>
      <w:pPr>
        <w:pStyle w:val="36"/>
        <w:tabs>
          <w:tab w:val="right" w:leader="dot" w:pos="9412"/>
        </w:tabs>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_Toc29385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lang w:val="en-US" w:eastAsia="zh-CN"/>
        </w:rPr>
        <w:t>四、无效报价</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lang w:val="en-US" w:eastAsia="zh-CN"/>
        </w:rPr>
        <w:t>5</w:t>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_Toc25356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lang w:val="en-US" w:eastAsia="zh-CN"/>
        </w:rPr>
        <w:t>五、采购终止</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_Toc25356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12</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47"/>
        <w:tabs>
          <w:tab w:val="right" w:leader="dot" w:pos="9412"/>
        </w:tabs>
        <w:ind w:left="0" w:leftChars="0"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_Toc10824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lang w:val="en-US" w:eastAsia="zh-CN"/>
        </w:rPr>
        <w:t>第五篇  投标人须知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_Toc10824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14</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_Toc25024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一、费用</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_Toc25024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14</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_Toc889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二、询比通知书</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_Toc889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14</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_Toc539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三、报价要求</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_Toc539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14</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_Toc415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四、中标人的变更</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_Toc415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15</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_Toc29009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五、成交通知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_Toc29009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15</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_Toc9119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六、签订合同</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_Toc9119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15</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47"/>
        <w:tabs>
          <w:tab w:val="right" w:leader="dot" w:pos="9412"/>
        </w:tabs>
        <w:ind w:left="0" w:leftChars="0"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_Toc2083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第六篇  响应文件格式要求</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_Toc2083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16</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_Toc28988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一、经济部分</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_Toc28988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16</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_Toc19893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二、技术（质量）部分</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_Toc19893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16</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_Toc7655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三、服务部分</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_Toc7655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16</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_Toc13739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四、资格条件及其他</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_Toc13739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16</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36"/>
        <w:tabs>
          <w:tab w:val="right" w:leader="dot" w:pos="9412"/>
        </w:tabs>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\l _Toc27073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五、其他资料</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PAGEREF _Toc27073 \h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16</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fldChar w:fldCharType="end"/>
      </w:r>
    </w:p>
    <w:p>
      <w:pPr>
        <w:pStyle w:val="9"/>
        <w:rPr>
          <w:b/>
          <w:color w:val="auto"/>
          <w:highlight w:val="none"/>
        </w:rPr>
      </w:pPr>
      <w:r>
        <w:rPr>
          <w:b/>
          <w:color w:val="auto"/>
          <w:highlight w:val="none"/>
        </w:rPr>
        <w:fldChar w:fldCharType="end"/>
      </w:r>
    </w:p>
    <w:p>
      <w:pPr>
        <w:pStyle w:val="3"/>
        <w:bidi w:val="0"/>
        <w:jc w:val="center"/>
        <w:rPr>
          <w:rFonts w:hint="eastAsia"/>
          <w:color w:val="auto"/>
          <w:highlight w:val="none"/>
        </w:rPr>
      </w:pPr>
      <w:bookmarkStart w:id="21" w:name="_Toc24986"/>
      <w:bookmarkStart w:id="22" w:name="_Toc19170"/>
      <w:bookmarkStart w:id="23" w:name="_Toc15915"/>
      <w:r>
        <w:rPr>
          <w:rFonts w:hint="eastAsia"/>
          <w:color w:val="auto"/>
          <w:highlight w:val="none"/>
        </w:rPr>
        <w:t>第一篇  询比采购邀请书</w:t>
      </w:r>
      <w:bookmarkEnd w:id="15"/>
      <w:bookmarkEnd w:id="16"/>
      <w:bookmarkEnd w:id="17"/>
      <w:bookmarkEnd w:id="18"/>
      <w:bookmarkEnd w:id="19"/>
      <w:bookmarkEnd w:id="20"/>
      <w:bookmarkEnd w:id="21"/>
      <w:bookmarkEnd w:id="22"/>
      <w:bookmarkEnd w:id="23"/>
    </w:p>
    <w:p>
      <w:pPr>
        <w:snapToGrid w:val="0"/>
        <w:spacing w:line="52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重庆市血液中心对“</w:t>
      </w:r>
      <w:r>
        <w:rPr>
          <w:rFonts w:hint="eastAsia" w:ascii="仿宋" w:hAnsi="仿宋" w:eastAsia="仿宋" w:cs="仿宋"/>
          <w:color w:val="auto"/>
          <w:sz w:val="28"/>
          <w:szCs w:val="28"/>
          <w:highlight w:val="none"/>
          <w:lang w:eastAsia="zh-CN"/>
        </w:rPr>
        <w:t>中心计量和关键设备现场检测服务</w:t>
      </w:r>
      <w:r>
        <w:rPr>
          <w:rFonts w:hint="eastAsia" w:ascii="仿宋" w:hAnsi="仿宋" w:eastAsia="仿宋" w:cs="仿宋"/>
          <w:color w:val="auto"/>
          <w:sz w:val="28"/>
          <w:szCs w:val="28"/>
          <w:highlight w:val="none"/>
        </w:rPr>
        <w:t>”进行询比采购，欢迎有资格的投标人参加竞标。</w:t>
      </w:r>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color w:val="auto"/>
          <w:sz w:val="28"/>
          <w:szCs w:val="28"/>
          <w:highlight w:val="none"/>
        </w:rPr>
      </w:pPr>
      <w:bookmarkStart w:id="24" w:name="_Toc11333"/>
      <w:bookmarkStart w:id="25" w:name="_Toc11858"/>
      <w:bookmarkStart w:id="26" w:name="_Toc20570"/>
      <w:r>
        <w:rPr>
          <w:rFonts w:hint="eastAsia"/>
          <w:color w:val="auto"/>
          <w:sz w:val="28"/>
          <w:szCs w:val="28"/>
          <w:highlight w:val="none"/>
        </w:rPr>
        <w:t>一、询比内容</w:t>
      </w:r>
      <w:bookmarkEnd w:id="24"/>
      <w:bookmarkEnd w:id="25"/>
      <w:bookmarkEnd w:id="26"/>
    </w:p>
    <w:tbl>
      <w:tblPr>
        <w:tblStyle w:val="31"/>
        <w:tblpPr w:leftFromText="180" w:rightFromText="180" w:vertAnchor="text" w:horzAnchor="page" w:tblpX="1930" w:tblpY="340"/>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5"/>
        <w:gridCol w:w="1458"/>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4595"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8"/>
                <w:szCs w:val="28"/>
                <w:highlight w:val="none"/>
                <w:lang w:eastAsia="zh-CN"/>
              </w:rPr>
            </w:pPr>
            <w:bookmarkStart w:id="27" w:name="_Toc38"/>
            <w:bookmarkStart w:id="28" w:name="_Toc4750"/>
            <w:bookmarkStart w:id="29" w:name="_Toc10166"/>
            <w:r>
              <w:rPr>
                <w:rFonts w:hint="eastAsia" w:ascii="仿宋" w:hAnsi="仿宋" w:eastAsia="仿宋" w:cs="仿宋"/>
                <w:color w:val="auto"/>
                <w:sz w:val="28"/>
                <w:szCs w:val="28"/>
                <w:highlight w:val="none"/>
              </w:rPr>
              <w:t>项目名称</w:t>
            </w:r>
            <w:bookmarkEnd w:id="27"/>
            <w:bookmarkEnd w:id="28"/>
            <w:bookmarkEnd w:id="29"/>
            <w:bookmarkStart w:id="30" w:name="_Toc8583"/>
            <w:bookmarkStart w:id="31" w:name="_Toc4448"/>
            <w:bookmarkStart w:id="32" w:name="_Toc11047"/>
          </w:p>
        </w:tc>
        <w:tc>
          <w:tcPr>
            <w:tcW w:w="1458"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w:t>
            </w:r>
            <w:bookmarkEnd w:id="30"/>
            <w:bookmarkEnd w:id="31"/>
            <w:bookmarkEnd w:id="32"/>
          </w:p>
        </w:tc>
        <w:tc>
          <w:tcPr>
            <w:tcW w:w="2205"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8"/>
                <w:szCs w:val="28"/>
                <w:highlight w:val="none"/>
                <w:lang w:eastAsia="zh-CN"/>
              </w:rPr>
            </w:pPr>
            <w:bookmarkStart w:id="33" w:name="_Toc29352"/>
            <w:bookmarkStart w:id="34" w:name="_Toc12868"/>
            <w:bookmarkStart w:id="35" w:name="_Toc20184"/>
            <w:r>
              <w:rPr>
                <w:rFonts w:hint="eastAsia" w:ascii="仿宋" w:hAnsi="仿宋" w:eastAsia="仿宋" w:cs="仿宋"/>
                <w:color w:val="auto"/>
                <w:sz w:val="28"/>
                <w:szCs w:val="28"/>
                <w:highlight w:val="none"/>
                <w:lang w:eastAsia="zh-CN"/>
              </w:rPr>
              <w:t>资金来源</w:t>
            </w:r>
            <w:bookmarkEnd w:id="33"/>
            <w:bookmarkEnd w:id="34"/>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4595" w:type="dxa"/>
            <w:tcBorders>
              <w:top w:val="single" w:color="auto" w:sz="4" w:space="0"/>
              <w:left w:val="single" w:color="auto" w:sz="4" w:space="0"/>
              <w:bottom w:val="single" w:color="auto" w:sz="4" w:space="0"/>
              <w:right w:val="single" w:color="auto" w:sz="4" w:space="0"/>
            </w:tcBorders>
            <w:vAlign w:val="center"/>
          </w:tcPr>
          <w:p>
            <w:pPr>
              <w:pStyle w:val="5"/>
              <w:spacing w:before="0" w:after="0" w:line="440" w:lineRule="exact"/>
              <w:jc w:val="center"/>
              <w:rPr>
                <w:rFonts w:hint="default" w:ascii="仿宋" w:hAnsi="仿宋" w:eastAsia="仿宋" w:cs="仿宋"/>
                <w:b w:val="0"/>
                <w:bCs w:val="0"/>
                <w:color w:val="auto"/>
                <w:kern w:val="2"/>
                <w:sz w:val="28"/>
                <w:szCs w:val="28"/>
                <w:highlight w:val="none"/>
                <w:lang w:val="en-US" w:eastAsia="zh-CN"/>
              </w:rPr>
            </w:pPr>
            <w:bookmarkStart w:id="36" w:name="_Hlk344477914"/>
            <w:r>
              <w:rPr>
                <w:rFonts w:hint="eastAsia" w:ascii="仿宋" w:hAnsi="仿宋" w:eastAsia="仿宋" w:cs="仿宋"/>
                <w:b/>
                <w:bCs/>
                <w:color w:val="auto"/>
                <w:kern w:val="2"/>
                <w:sz w:val="28"/>
                <w:szCs w:val="28"/>
                <w:highlight w:val="none"/>
                <w:lang w:eastAsia="zh-CN"/>
              </w:rPr>
              <w:t>中心计量和关键设备现场检测服务</w:t>
            </w:r>
          </w:p>
        </w:tc>
        <w:tc>
          <w:tcPr>
            <w:tcW w:w="1458" w:type="dxa"/>
            <w:tcBorders>
              <w:top w:val="single" w:color="auto" w:sz="4" w:space="0"/>
              <w:left w:val="single" w:color="auto" w:sz="4" w:space="0"/>
              <w:bottom w:val="single" w:color="auto" w:sz="4" w:space="0"/>
              <w:right w:val="single" w:color="auto" w:sz="4" w:space="0"/>
            </w:tcBorders>
            <w:vAlign w:val="center"/>
          </w:tcPr>
          <w:p>
            <w:pPr>
              <w:pStyle w:val="5"/>
              <w:spacing w:before="0" w:after="0" w:line="440" w:lineRule="exact"/>
              <w:jc w:val="center"/>
              <w:rPr>
                <w:rFonts w:hint="eastAsia" w:ascii="仿宋" w:hAnsi="仿宋" w:eastAsia="仿宋" w:cs="仿宋"/>
                <w:b w:val="0"/>
                <w:bCs w:val="0"/>
                <w:color w:val="auto"/>
                <w:kern w:val="2"/>
                <w:sz w:val="28"/>
                <w:szCs w:val="28"/>
                <w:highlight w:val="none"/>
                <w:lang w:eastAsia="zh-CN"/>
              </w:rPr>
            </w:pPr>
            <w:r>
              <w:rPr>
                <w:rFonts w:hint="eastAsia" w:ascii="仿宋" w:hAnsi="仿宋" w:eastAsia="仿宋" w:cs="仿宋"/>
                <w:b w:val="0"/>
                <w:bCs w:val="0"/>
                <w:color w:val="auto"/>
                <w:kern w:val="2"/>
                <w:sz w:val="28"/>
                <w:szCs w:val="28"/>
                <w:highlight w:val="none"/>
                <w:lang w:val="en-US" w:eastAsia="zh-CN"/>
              </w:rPr>
              <w:t>10</w:t>
            </w:r>
            <w:r>
              <w:rPr>
                <w:rFonts w:hint="eastAsia" w:ascii="仿宋" w:hAnsi="仿宋" w:eastAsia="仿宋" w:cs="仿宋"/>
                <w:b w:val="0"/>
                <w:bCs w:val="0"/>
                <w:color w:val="auto"/>
                <w:kern w:val="2"/>
                <w:sz w:val="28"/>
                <w:szCs w:val="28"/>
                <w:highlight w:val="none"/>
                <w:lang w:eastAsia="zh-CN"/>
              </w:rPr>
              <w:t>万元</w:t>
            </w:r>
          </w:p>
        </w:tc>
        <w:tc>
          <w:tcPr>
            <w:tcW w:w="2205" w:type="dxa"/>
            <w:tcBorders>
              <w:top w:val="single" w:color="auto" w:sz="4" w:space="0"/>
              <w:left w:val="single" w:color="auto" w:sz="4" w:space="0"/>
              <w:bottom w:val="single" w:color="auto" w:sz="4" w:space="0"/>
              <w:right w:val="single" w:color="auto" w:sz="4" w:space="0"/>
            </w:tcBorders>
            <w:vAlign w:val="center"/>
          </w:tcPr>
          <w:p>
            <w:pPr>
              <w:pStyle w:val="5"/>
              <w:spacing w:before="0" w:after="0" w:line="440" w:lineRule="exact"/>
              <w:ind w:firstLine="560" w:firstLineChars="200"/>
              <w:rPr>
                <w:rFonts w:hint="eastAsia" w:ascii="仿宋" w:hAnsi="仿宋" w:eastAsia="仿宋" w:cs="仿宋"/>
                <w:b w:val="0"/>
                <w:bCs w:val="0"/>
                <w:color w:val="auto"/>
                <w:kern w:val="2"/>
                <w:sz w:val="28"/>
                <w:szCs w:val="28"/>
                <w:highlight w:val="none"/>
              </w:rPr>
            </w:pPr>
            <w:r>
              <w:rPr>
                <w:rFonts w:hint="eastAsia" w:ascii="仿宋" w:hAnsi="仿宋" w:eastAsia="仿宋" w:cs="仿宋"/>
                <w:b w:val="0"/>
                <w:bCs w:val="0"/>
                <w:color w:val="auto"/>
                <w:kern w:val="2"/>
                <w:sz w:val="28"/>
                <w:szCs w:val="28"/>
                <w:highlight w:val="none"/>
              </w:rPr>
              <w:t>财政资金</w:t>
            </w:r>
          </w:p>
        </w:tc>
      </w:tr>
      <w:bookmarkEnd w:id="36"/>
    </w:tbl>
    <w:p>
      <w:pPr>
        <w:ind w:firstLine="560" w:firstLineChars="200"/>
        <w:rPr>
          <w:rFonts w:hint="eastAsia" w:ascii="仿宋" w:hAnsi="仿宋" w:eastAsia="仿宋" w:cs="仿宋"/>
          <w:color w:val="auto"/>
          <w:sz w:val="28"/>
          <w:szCs w:val="28"/>
          <w:highlight w:val="none"/>
        </w:rPr>
      </w:pPr>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b/>
          <w:bCs/>
          <w:color w:val="auto"/>
          <w:sz w:val="28"/>
          <w:szCs w:val="28"/>
          <w:highlight w:val="none"/>
        </w:rPr>
      </w:pPr>
      <w:bookmarkStart w:id="37" w:name="_Toc19787"/>
      <w:bookmarkStart w:id="38" w:name="_Toc26440"/>
      <w:bookmarkStart w:id="39" w:name="_Toc22458"/>
      <w:r>
        <w:rPr>
          <w:rFonts w:hint="eastAsia"/>
          <w:b/>
          <w:bCs/>
          <w:color w:val="auto"/>
          <w:sz w:val="28"/>
          <w:szCs w:val="28"/>
          <w:highlight w:val="none"/>
        </w:rPr>
        <w:t>二、资金来源</w:t>
      </w:r>
      <w:bookmarkEnd w:id="37"/>
      <w:bookmarkEnd w:id="38"/>
      <w:bookmarkEnd w:id="39"/>
    </w:p>
    <w:p>
      <w:pPr>
        <w:pStyle w:val="9"/>
        <w:ind w:firstLine="5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财政资金，采购预算：</w:t>
      </w:r>
      <w:r>
        <w:rPr>
          <w:rFonts w:hint="eastAsia" w:ascii="仿宋" w:hAnsi="仿宋" w:eastAsia="仿宋" w:cs="仿宋"/>
          <w:color w:val="auto"/>
          <w:sz w:val="28"/>
          <w:szCs w:val="28"/>
          <w:highlight w:val="none"/>
          <w:lang w:val="en-US" w:eastAsia="zh-CN"/>
        </w:rPr>
        <w:t>10万元。</w:t>
      </w:r>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b/>
          <w:bCs/>
          <w:color w:val="auto"/>
          <w:sz w:val="28"/>
          <w:szCs w:val="28"/>
          <w:highlight w:val="none"/>
        </w:rPr>
      </w:pPr>
      <w:bookmarkStart w:id="40" w:name="_Toc18907"/>
      <w:bookmarkStart w:id="41" w:name="_Toc10944"/>
      <w:bookmarkStart w:id="42" w:name="_Toc28263"/>
      <w:r>
        <w:rPr>
          <w:rFonts w:hint="eastAsia"/>
          <w:b/>
          <w:bCs/>
          <w:color w:val="auto"/>
          <w:sz w:val="28"/>
          <w:szCs w:val="28"/>
          <w:highlight w:val="none"/>
        </w:rPr>
        <w:t>三、投标人资格条件</w:t>
      </w:r>
      <w:bookmarkEnd w:id="40"/>
      <w:bookmarkEnd w:id="41"/>
      <w:bookmarkEnd w:id="42"/>
    </w:p>
    <w:p>
      <w:pPr>
        <w:snapToGrid w:val="0"/>
        <w:spacing w:line="52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参与报价的投标人是指向采购人提供货物、工程或者服务的法人、其他组织或者自然人，简称投标人。合格的投标人应符合下列条件：</w:t>
      </w:r>
    </w:p>
    <w:p>
      <w:pPr>
        <w:snapToGrid w:val="0"/>
        <w:spacing w:line="52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（一）具有独立承担民事责任的能力；</w:t>
      </w:r>
    </w:p>
    <w:p>
      <w:pPr>
        <w:snapToGrid w:val="0"/>
        <w:spacing w:line="52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（二）具有良好的商业信誉和健全的财务会计制度；</w:t>
      </w:r>
    </w:p>
    <w:p>
      <w:pPr>
        <w:snapToGrid w:val="0"/>
        <w:spacing w:line="52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（三）具有履行合同所必需的设备和专业技术能力；</w:t>
      </w:r>
    </w:p>
    <w:p>
      <w:pPr>
        <w:snapToGrid w:val="0"/>
        <w:spacing w:line="52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（四）有依法缴纳税收和社会保障资金的良好记录；</w:t>
      </w:r>
    </w:p>
    <w:p>
      <w:pPr>
        <w:snapToGrid w:val="0"/>
        <w:spacing w:line="52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（五）参加政府采购活动前三年内，在经营活动中没有重大违法记录；</w:t>
      </w:r>
    </w:p>
    <w:p>
      <w:pPr>
        <w:snapToGrid w:val="0"/>
        <w:spacing w:line="520" w:lineRule="exact"/>
        <w:ind w:firstLine="570"/>
        <w:rPr>
          <w:rFonts w:hint="eastAsia" w:ascii="仿宋" w:hAnsi="仿宋" w:eastAsia="仿宋" w:cs="仿宋"/>
          <w:color w:val="auto"/>
          <w:sz w:val="28"/>
          <w:szCs w:val="28"/>
          <w:highlight w:val="none"/>
        </w:rPr>
      </w:pPr>
      <w:bookmarkStart w:id="43" w:name="_Toc3820"/>
      <w:bookmarkStart w:id="44" w:name="_Toc30441"/>
      <w:bookmarkStart w:id="45" w:name="_Toc12338"/>
      <w:r>
        <w:rPr>
          <w:rFonts w:hint="eastAsia" w:ascii="仿宋" w:hAnsi="仿宋" w:eastAsia="仿宋" w:cs="仿宋"/>
          <w:color w:val="auto"/>
          <w:sz w:val="28"/>
          <w:szCs w:val="28"/>
          <w:highlight w:val="none"/>
        </w:rPr>
        <w:t>（六）法律、行政法规规定的其他条件；</w:t>
      </w:r>
      <w:bookmarkEnd w:id="43"/>
      <w:bookmarkEnd w:id="44"/>
      <w:bookmarkEnd w:id="45"/>
    </w:p>
    <w:p>
      <w:pPr>
        <w:snapToGrid w:val="0"/>
        <w:spacing w:line="52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（七）投标人只需以书面形式提供规定格式的《基本资格条件承诺函》（详见附件），即可替代以上材料。</w:t>
      </w:r>
    </w:p>
    <w:p>
      <w:pPr>
        <w:pStyle w:val="9"/>
        <w:ind w:left="0" w:leftChars="0" w:firstLine="280" w:firstLineChars="100"/>
        <w:rPr>
          <w:rFonts w:hint="eastAsia" w:ascii="仿宋" w:hAnsi="仿宋" w:eastAsia="仿宋" w:cs="仿宋"/>
          <w:color w:val="auto"/>
          <w:sz w:val="28"/>
          <w:szCs w:val="28"/>
          <w:highlight w:val="none"/>
          <w:lang w:val="en-US" w:eastAsia="zh-CN"/>
        </w:rPr>
      </w:pPr>
      <w:bookmarkStart w:id="46" w:name="_Toc29556"/>
      <w:bookmarkStart w:id="47" w:name="_Toc12007"/>
      <w:bookmarkStart w:id="48" w:name="_Toc3522"/>
      <w:bookmarkStart w:id="49" w:name="_Toc29578"/>
      <w:bookmarkStart w:id="50" w:name="_Toc4788"/>
      <w:r>
        <w:rPr>
          <w:rFonts w:hint="eastAsia" w:ascii="仿宋" w:hAnsi="仿宋" w:eastAsia="仿宋" w:cs="仿宋"/>
          <w:color w:val="auto"/>
          <w:sz w:val="28"/>
          <w:szCs w:val="28"/>
          <w:highlight w:val="none"/>
          <w:lang w:eastAsia="zh-CN"/>
        </w:rPr>
        <w:t>（八）投标人及其所投产品（包含货物、工程、服务等）应具备相应资质（包含但不限于生产资质、经营资质、销售资质、服务资质、工程资质等），以证明投标人及其所投产品符合国家法律法规和行业标准，</w:t>
      </w:r>
      <w:r>
        <w:rPr>
          <w:rFonts w:hint="eastAsia" w:ascii="仿宋" w:hAnsi="仿宋" w:eastAsia="仿宋" w:cs="仿宋"/>
          <w:color w:val="auto"/>
          <w:sz w:val="28"/>
          <w:szCs w:val="28"/>
          <w:highlight w:val="none"/>
          <w:lang w:val="en-US" w:eastAsia="zh-CN"/>
        </w:rPr>
        <w:t>且能证明投标人有能力提供符合要求的产品</w:t>
      </w:r>
      <w:r>
        <w:rPr>
          <w:rFonts w:hint="eastAsia" w:ascii="仿宋" w:hAnsi="仿宋" w:eastAsia="仿宋" w:cs="仿宋"/>
          <w:color w:val="auto"/>
          <w:sz w:val="28"/>
          <w:szCs w:val="28"/>
          <w:highlight w:val="none"/>
          <w:lang w:eastAsia="zh-CN"/>
        </w:rPr>
        <w:t>（包含货物、工程、服务等）。</w:t>
      </w:r>
      <w:r>
        <w:rPr>
          <w:rFonts w:hint="eastAsia" w:ascii="仿宋" w:hAnsi="仿宋" w:eastAsia="仿宋" w:cs="仿宋"/>
          <w:color w:val="auto"/>
          <w:sz w:val="28"/>
          <w:szCs w:val="28"/>
          <w:highlight w:val="none"/>
          <w:lang w:val="en-US" w:eastAsia="zh-CN"/>
        </w:rPr>
        <w:t>(须提交相应资质复印件并加盖投标人公章，原件备查）</w:t>
      </w:r>
    </w:p>
    <w:p>
      <w:pPr>
        <w:keepNext w:val="0"/>
        <w:keepLines w:val="0"/>
        <w:pageBreakBefore w:val="0"/>
        <w:widowControl w:val="0"/>
        <w:kinsoku/>
        <w:wordWrap/>
        <w:overflowPunct/>
        <w:topLinePunct w:val="0"/>
        <w:autoSpaceDE/>
        <w:autoSpaceDN/>
        <w:bidi w:val="0"/>
        <w:snapToGrid w:val="0"/>
        <w:spacing w:line="560" w:lineRule="exact"/>
        <w:ind w:firstLine="280" w:firstLineChars="100"/>
        <w:jc w:val="left"/>
        <w:textAlignment w:val="auto"/>
        <w:outlineLvl w:val="1"/>
        <w:rPr>
          <w:rFonts w:hint="eastAsia" w:ascii="仿宋" w:hAnsi="仿宋" w:eastAsia="仿宋" w:cs="仿宋"/>
          <w:color w:val="auto"/>
          <w:sz w:val="28"/>
          <w:szCs w:val="28"/>
          <w:highlight w:val="none"/>
        </w:rPr>
      </w:pPr>
      <w:bookmarkStart w:id="51" w:name="_Toc5036"/>
      <w:bookmarkStart w:id="52" w:name="_Toc20321"/>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）特定资格条件</w:t>
      </w:r>
      <w:bookmarkEnd w:id="46"/>
      <w:bookmarkEnd w:id="47"/>
      <w:bookmarkEnd w:id="48"/>
      <w:bookmarkEnd w:id="49"/>
      <w:bookmarkEnd w:id="50"/>
      <w:bookmarkEnd w:id="51"/>
      <w:bookmarkEnd w:id="52"/>
    </w:p>
    <w:p>
      <w:pPr>
        <w:snapToGrid w:val="0"/>
        <w:spacing w:line="520" w:lineRule="exact"/>
        <w:ind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（1）必须具有医疗计量器具校准</w:t>
      </w:r>
      <w:r>
        <w:rPr>
          <w:rFonts w:hint="eastAsia" w:ascii="仿宋" w:hAnsi="仿宋" w:eastAsia="仿宋" w:cs="仿宋"/>
          <w:color w:val="auto"/>
          <w:sz w:val="28"/>
          <w:szCs w:val="28"/>
          <w:lang w:val="en-US" w:eastAsia="zh-CN"/>
        </w:rPr>
        <w:t>和检测</w:t>
      </w:r>
      <w:r>
        <w:rPr>
          <w:rFonts w:hint="eastAsia" w:ascii="仿宋" w:hAnsi="仿宋" w:eastAsia="仿宋" w:cs="仿宋"/>
          <w:color w:val="auto"/>
          <w:sz w:val="28"/>
          <w:szCs w:val="28"/>
        </w:rPr>
        <w:t>资质，CNAS认可资质证书</w:t>
      </w:r>
      <w:r>
        <w:rPr>
          <w:rFonts w:hint="eastAsia" w:ascii="仿宋" w:hAnsi="仿宋" w:eastAsia="仿宋" w:cs="仿宋"/>
          <w:color w:val="auto"/>
          <w:kern w:val="2"/>
          <w:sz w:val="28"/>
          <w:szCs w:val="28"/>
          <w:lang w:val="en-US" w:eastAsia="zh-CN" w:bidi="ar-SA"/>
        </w:rPr>
        <w:t>（提供复印件加盖投标人公章）</w:t>
      </w:r>
    </w:p>
    <w:p>
      <w:pPr>
        <w:keepNext w:val="0"/>
        <w:keepLines w:val="0"/>
        <w:pageBreakBefore w:val="0"/>
        <w:widowControl w:val="0"/>
        <w:kinsoku/>
        <w:wordWrap/>
        <w:overflowPunct/>
        <w:topLinePunct w:val="0"/>
        <w:autoSpaceDE/>
        <w:autoSpaceDN/>
        <w:bidi w:val="0"/>
        <w:adjustRightInd/>
        <w:snapToGrid w:val="0"/>
        <w:spacing w:line="240" w:lineRule="auto"/>
        <w:ind w:firstLine="280" w:firstLineChars="100"/>
        <w:jc w:val="left"/>
        <w:textAlignment w:val="auto"/>
        <w:rPr>
          <w:rFonts w:hint="eastAsia"/>
          <w:color w:val="auto"/>
        </w:rPr>
      </w:pPr>
      <w:r>
        <w:rPr>
          <w:rFonts w:hint="eastAsia" w:ascii="仿宋" w:hAnsi="仿宋" w:eastAsia="仿宋" w:cs="仿宋"/>
          <w:color w:val="auto"/>
          <w:sz w:val="28"/>
          <w:szCs w:val="28"/>
        </w:rPr>
        <w:t>（2）CNAS认可实验室关键场所；主要活动包括①检测、②校准、③签发报告/证书、④样品接收、⑤合同评审、⑥其他。</w:t>
      </w:r>
      <w:r>
        <w:rPr>
          <w:rFonts w:hint="eastAsia" w:ascii="仿宋" w:hAnsi="仿宋" w:eastAsia="仿宋" w:cs="仿宋"/>
          <w:color w:val="auto"/>
          <w:sz w:val="28"/>
          <w:szCs w:val="28"/>
          <w:lang w:val="en-US" w:eastAsia="zh-CN"/>
        </w:rPr>
        <w:t>（需提供相关佐证资料并加盖投标人公章）。</w:t>
      </w:r>
    </w:p>
    <w:p>
      <w:pPr>
        <w:pStyle w:val="2"/>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（3）校准和检测能力覆盖本项目所需全部检测，不允许外包（需提供相关佐证资料并加盖投标人公章）。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lang w:eastAsia="zh-CN"/>
        </w:rPr>
      </w:pPr>
      <w:r>
        <w:rPr>
          <w:rFonts w:hint="eastAsia" w:ascii="仿宋" w:hAnsi="仿宋" w:eastAsia="仿宋" w:cs="仿宋"/>
          <w:color w:val="auto"/>
          <w:kern w:val="2"/>
          <w:sz w:val="28"/>
          <w:szCs w:val="28"/>
          <w:lang w:val="en-US" w:eastAsia="zh-CN" w:bidi="ar-SA"/>
        </w:rPr>
        <w:t>（4）检测人员中对于此次计量器具检测项目需能提供一级注册计量师等资质证明文件。（提供复印件加盖投标人公章）</w:t>
      </w:r>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b/>
          <w:bCs/>
          <w:color w:val="auto"/>
          <w:sz w:val="28"/>
          <w:szCs w:val="28"/>
          <w:highlight w:val="none"/>
        </w:rPr>
      </w:pPr>
      <w:bookmarkStart w:id="53" w:name="_Toc21263"/>
      <w:bookmarkStart w:id="54" w:name="_Toc3724"/>
      <w:bookmarkStart w:id="55" w:name="_Toc25377"/>
      <w:r>
        <w:rPr>
          <w:rFonts w:hint="eastAsia"/>
          <w:b/>
          <w:bCs/>
          <w:color w:val="auto"/>
          <w:sz w:val="28"/>
          <w:szCs w:val="28"/>
          <w:highlight w:val="none"/>
        </w:rPr>
        <w:t>四、有关说明</w:t>
      </w:r>
      <w:bookmarkEnd w:id="53"/>
      <w:bookmarkEnd w:id="54"/>
      <w:bookmarkEnd w:id="55"/>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（一）凡有意参加</w:t>
      </w:r>
      <w:r>
        <w:rPr>
          <w:rFonts w:hint="eastAsia" w:ascii="仿宋" w:hAnsi="仿宋" w:eastAsia="仿宋" w:cs="仿宋"/>
          <w:color w:val="auto"/>
          <w:sz w:val="28"/>
          <w:szCs w:val="28"/>
          <w:highlight w:val="none"/>
          <w:lang w:eastAsia="zh-CN"/>
        </w:rPr>
        <w:t>询比采购</w:t>
      </w:r>
      <w:r>
        <w:rPr>
          <w:rFonts w:hint="eastAsia" w:ascii="仿宋" w:hAnsi="仿宋" w:eastAsia="仿宋" w:cs="仿宋"/>
          <w:color w:val="auto"/>
          <w:sz w:val="28"/>
          <w:szCs w:val="28"/>
          <w:highlight w:val="none"/>
        </w:rPr>
        <w:t>项目的供应商，请于公告发布之日起至报名截止时间之前，在重庆市血液中心官网上下载查询本项目需求文件以及变更公告等询价前公布的所有项目资料，无论供应商下载查询与否，均视为已知晓所有询价实质性要求内容。（https://www.ccbc.org.cn/index.html）</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（二）无论</w:t>
      </w:r>
      <w:r>
        <w:rPr>
          <w:rFonts w:hint="eastAsia" w:ascii="仿宋" w:hAnsi="仿宋" w:eastAsia="仿宋" w:cs="仿宋"/>
          <w:color w:val="auto"/>
          <w:sz w:val="28"/>
          <w:szCs w:val="28"/>
          <w:highlight w:val="none"/>
          <w:lang w:eastAsia="zh-CN"/>
        </w:rPr>
        <w:t>询比采购</w:t>
      </w:r>
      <w:r>
        <w:rPr>
          <w:rFonts w:hint="eastAsia" w:ascii="仿宋" w:hAnsi="仿宋" w:eastAsia="仿宋" w:cs="仿宋"/>
          <w:color w:val="auto"/>
          <w:sz w:val="28"/>
          <w:szCs w:val="28"/>
          <w:highlight w:val="none"/>
        </w:rPr>
        <w:t>结果如何，投标人参与本项目的所有费用均由自行承担。</w:t>
      </w:r>
    </w:p>
    <w:p>
      <w:pPr>
        <w:snapToGrid w:val="0"/>
        <w:spacing w:line="520" w:lineRule="exact"/>
        <w:ind w:firstLine="560" w:firstLineChars="200"/>
        <w:rPr>
          <w:rFonts w:hint="eastAsia" w:ascii="仿宋" w:hAnsi="仿宋" w:eastAsia="仿宋" w:cs="仿宋"/>
          <w:b/>
          <w:bCs/>
          <w:color w:val="auto"/>
          <w:kern w:val="0"/>
          <w:sz w:val="30"/>
          <w:szCs w:val="32"/>
          <w:highlight w:val="none"/>
        </w:rPr>
      </w:pPr>
      <w:r>
        <w:rPr>
          <w:rFonts w:hint="eastAsia" w:ascii="仿宋" w:hAnsi="仿宋" w:eastAsia="仿宋" w:cs="仿宋"/>
          <w:color w:val="auto"/>
          <w:sz w:val="28"/>
          <w:szCs w:val="28"/>
          <w:highlight w:val="none"/>
        </w:rPr>
        <w:t>（三）投标人如对询比通知书有疑问，必须以书面形式在报价截止时间一个工作日前向重庆市血液中心要求澄清，重庆市血液中心可视具体情况做出处理或答复。如供应商未提出疑问，视为完全理解并同意本通知书，即供应商已详细阅读全部文件资料，完全理解询比通知书所有条款内容并同意放弃对这方面有不明白及误解的权利。</w:t>
      </w:r>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b/>
          <w:bCs/>
          <w:color w:val="auto"/>
          <w:sz w:val="28"/>
          <w:szCs w:val="28"/>
          <w:highlight w:val="none"/>
        </w:rPr>
      </w:pPr>
      <w:bookmarkStart w:id="56" w:name="_Toc8136"/>
      <w:bookmarkStart w:id="57" w:name="_Toc9445"/>
      <w:bookmarkStart w:id="58" w:name="_Toc12830"/>
      <w:r>
        <w:rPr>
          <w:rFonts w:hint="eastAsia"/>
          <w:b/>
          <w:bCs/>
          <w:color w:val="auto"/>
          <w:sz w:val="28"/>
          <w:szCs w:val="28"/>
          <w:highlight w:val="none"/>
        </w:rPr>
        <w:t>五、其他有关规定</w:t>
      </w:r>
      <w:bookmarkEnd w:id="56"/>
      <w:bookmarkEnd w:id="57"/>
      <w:bookmarkEnd w:id="58"/>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（一）单位负责人为同一人或者存在直接控股、管理关系的不同投标人，不得参加同一合同项（包）下的采购活动，否则均为无效报价。</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（二）为采购项目提供整体设计、规范编制或者项目管理、监理、检测等服务的投标人，不得再参加该采购项目的其他采购活动。</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（三）同一合同项（包）下的货物，制造商参与报价的，不得再委托代理商参与报价。</w:t>
      </w:r>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b/>
          <w:bCs/>
          <w:color w:val="auto"/>
          <w:sz w:val="28"/>
          <w:szCs w:val="28"/>
          <w:highlight w:val="none"/>
        </w:rPr>
      </w:pPr>
      <w:bookmarkStart w:id="59" w:name="_Toc27962"/>
      <w:bookmarkStart w:id="60" w:name="_Toc13171"/>
      <w:bookmarkStart w:id="61" w:name="_Toc18045"/>
      <w:r>
        <w:rPr>
          <w:rFonts w:hint="eastAsia"/>
          <w:b/>
          <w:bCs/>
          <w:color w:val="auto"/>
          <w:sz w:val="28"/>
          <w:szCs w:val="28"/>
          <w:highlight w:val="none"/>
        </w:rPr>
        <w:t>六、联系方式</w:t>
      </w:r>
      <w:bookmarkEnd w:id="59"/>
      <w:bookmarkEnd w:id="60"/>
      <w:bookmarkEnd w:id="61"/>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采购人：重庆市血液中心</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eastAsia="仿宋"/>
          <w:color w:val="auto"/>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夏</w:t>
      </w:r>
      <w:r>
        <w:rPr>
          <w:rFonts w:hint="eastAsia" w:ascii="仿宋" w:hAnsi="仿宋" w:eastAsia="仿宋" w:cs="仿宋"/>
          <w:color w:val="auto"/>
          <w:sz w:val="28"/>
          <w:szCs w:val="28"/>
          <w:highlight w:val="none"/>
        </w:rPr>
        <w:t>老</w:t>
      </w:r>
      <w:r>
        <w:rPr>
          <w:rFonts w:hint="eastAsia" w:ascii="仿宋" w:hAnsi="仿宋" w:eastAsia="仿宋" w:cs="仿宋"/>
          <w:color w:val="auto"/>
          <w:sz w:val="28"/>
          <w:szCs w:val="28"/>
          <w:highlight w:val="none"/>
          <w:lang w:eastAsia="zh-CN"/>
        </w:rPr>
        <w:t>师</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  023-63532032</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地址：重庆市九龙坡区华福大道北段21号</w:t>
      </w:r>
    </w:p>
    <w:p>
      <w:pPr>
        <w:pStyle w:val="9"/>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rPr>
      </w:pPr>
    </w:p>
    <w:p>
      <w:pPr>
        <w:snapToGrid w:val="0"/>
        <w:spacing w:line="520" w:lineRule="exact"/>
        <w:ind w:left="1004"/>
        <w:rPr>
          <w:rFonts w:hint="eastAsia" w:ascii="仿宋" w:hAnsi="仿宋" w:eastAsia="仿宋" w:cs="仿宋"/>
          <w:b/>
          <w:bCs/>
          <w:color w:val="auto"/>
          <w:kern w:val="0"/>
          <w:sz w:val="36"/>
          <w:szCs w:val="32"/>
          <w:highlight w:val="none"/>
          <w:lang w:val="en-US" w:eastAsia="zh-CN" w:bidi="ar-SA"/>
        </w:rPr>
      </w:pPr>
      <w:bookmarkStart w:id="62" w:name="_Toc501099912"/>
      <w:bookmarkStart w:id="63" w:name="_Toc517773729"/>
      <w:bookmarkStart w:id="64" w:name="_Toc11641054"/>
      <w:bookmarkStart w:id="65" w:name="_Toc25725122"/>
      <w:bookmarkStart w:id="66" w:name="_Toc456268235"/>
      <w:bookmarkStart w:id="67" w:name="_Toc456268658"/>
      <w:bookmarkStart w:id="68" w:name="_Toc456268351"/>
      <w:bookmarkStart w:id="69" w:name="_Toc456268550"/>
      <w:r>
        <w:rPr>
          <w:rFonts w:hint="eastAsia" w:ascii="仿宋" w:hAnsi="仿宋" w:eastAsia="仿宋" w:cs="仿宋"/>
          <w:b/>
          <w:bCs/>
          <w:color w:val="auto"/>
          <w:kern w:val="0"/>
          <w:sz w:val="36"/>
          <w:szCs w:val="32"/>
          <w:highlight w:val="none"/>
          <w:lang w:val="en-US" w:eastAsia="zh-CN" w:bidi="ar-SA"/>
        </w:rPr>
        <w:t xml:space="preserve"> </w:t>
      </w:r>
    </w:p>
    <w:p>
      <w:pPr>
        <w:pStyle w:val="3"/>
        <w:bidi w:val="0"/>
        <w:jc w:val="center"/>
        <w:outlineLvl w:val="1"/>
        <w:rPr>
          <w:rFonts w:hint="eastAsia"/>
          <w:color w:val="auto"/>
          <w:highlight w:val="none"/>
        </w:rPr>
      </w:pPr>
      <w:bookmarkStart w:id="70" w:name="_Toc18706"/>
      <w:bookmarkStart w:id="71" w:name="_Toc32428"/>
      <w:bookmarkStart w:id="72" w:name="_Toc17276"/>
      <w:r>
        <w:rPr>
          <w:rFonts w:hint="eastAsia"/>
          <w:color w:val="auto"/>
          <w:highlight w:val="none"/>
          <w:lang w:val="en-US" w:eastAsia="zh-CN"/>
        </w:rPr>
        <w:t xml:space="preserve">第二篇  </w:t>
      </w:r>
      <w:bookmarkEnd w:id="62"/>
      <w:bookmarkEnd w:id="63"/>
      <w:r>
        <w:rPr>
          <w:rFonts w:hint="eastAsia"/>
          <w:color w:val="auto"/>
          <w:highlight w:val="none"/>
          <w:lang w:val="en-US" w:eastAsia="zh-CN"/>
        </w:rPr>
        <w:t>询比项目技术（质量）需求</w:t>
      </w:r>
      <w:bookmarkEnd w:id="70"/>
      <w:bookmarkEnd w:id="71"/>
      <w:bookmarkEnd w:id="72"/>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b/>
          <w:bCs/>
          <w:color w:val="auto"/>
          <w:sz w:val="28"/>
          <w:szCs w:val="28"/>
          <w:highlight w:val="none"/>
        </w:rPr>
      </w:pPr>
      <w:bookmarkStart w:id="73" w:name="_Toc501099913"/>
      <w:bookmarkStart w:id="74" w:name="_Toc517773730"/>
      <w:bookmarkStart w:id="75" w:name="_Toc8456"/>
      <w:bookmarkStart w:id="76" w:name="_Toc14505"/>
      <w:bookmarkStart w:id="77" w:name="_Toc2915"/>
      <w:r>
        <w:rPr>
          <w:rFonts w:hint="eastAsia"/>
          <w:b/>
          <w:bCs/>
          <w:color w:val="auto"/>
          <w:sz w:val="28"/>
          <w:szCs w:val="28"/>
          <w:highlight w:val="none"/>
        </w:rPr>
        <w:t>一、</w:t>
      </w:r>
      <w:bookmarkEnd w:id="73"/>
      <w:bookmarkEnd w:id="74"/>
      <w:r>
        <w:rPr>
          <w:rFonts w:hint="eastAsia"/>
          <w:b/>
          <w:bCs/>
          <w:color w:val="auto"/>
          <w:sz w:val="28"/>
          <w:szCs w:val="28"/>
          <w:highlight w:val="none"/>
        </w:rPr>
        <w:t>项目一览表</w:t>
      </w:r>
      <w:bookmarkEnd w:id="75"/>
      <w:bookmarkEnd w:id="76"/>
      <w:bookmarkEnd w:id="77"/>
    </w:p>
    <w:tbl>
      <w:tblPr>
        <w:tblStyle w:val="31"/>
        <w:tblpPr w:leftFromText="180" w:rightFromText="180" w:vertAnchor="text" w:horzAnchor="page" w:tblpX="1930" w:tblpY="340"/>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5"/>
        <w:gridCol w:w="1530"/>
        <w:gridCol w:w="240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3395"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8"/>
                <w:szCs w:val="28"/>
              </w:rPr>
            </w:pPr>
            <w:bookmarkStart w:id="78" w:name="_Toc4196"/>
            <w:bookmarkStart w:id="79" w:name="_Toc14174"/>
            <w:bookmarkStart w:id="80" w:name="_Toc1335"/>
            <w:bookmarkStart w:id="81" w:name="_Toc4853"/>
            <w:bookmarkStart w:id="82" w:name="_Toc7093"/>
            <w:bookmarkStart w:id="83" w:name="_Toc13258"/>
            <w:bookmarkStart w:id="84" w:name="_Toc4088"/>
            <w:bookmarkStart w:id="85" w:name="_Toc26516"/>
            <w:bookmarkStart w:id="86" w:name="_Toc14507"/>
            <w:bookmarkStart w:id="87" w:name="_Toc30701"/>
            <w:bookmarkStart w:id="88" w:name="_Toc179714296"/>
            <w:bookmarkStart w:id="89" w:name="_Toc187655629"/>
            <w:bookmarkStart w:id="90" w:name="_Toc517773732"/>
            <w:bookmarkStart w:id="91" w:name="_Toc501099915"/>
            <w:bookmarkStart w:id="92" w:name="_Toc102227317"/>
            <w:r>
              <w:rPr>
                <w:rFonts w:hint="eastAsia" w:ascii="仿宋" w:hAnsi="仿宋" w:eastAsia="仿宋" w:cs="仿宋"/>
                <w:color w:val="auto"/>
                <w:sz w:val="28"/>
                <w:szCs w:val="28"/>
              </w:rPr>
              <w:t>项目名称</w:t>
            </w:r>
            <w:bookmarkEnd w:id="78"/>
            <w:bookmarkEnd w:id="79"/>
            <w:bookmarkEnd w:id="80"/>
            <w:bookmarkEnd w:id="81"/>
            <w:bookmarkEnd w:id="82"/>
            <w:bookmarkEnd w:id="83"/>
            <w:bookmarkEnd w:id="84"/>
          </w:p>
        </w:tc>
        <w:tc>
          <w:tcPr>
            <w:tcW w:w="1530"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8"/>
                <w:szCs w:val="28"/>
                <w:lang w:eastAsia="zh-CN"/>
              </w:rPr>
            </w:pPr>
            <w:bookmarkStart w:id="93" w:name="_Toc8067"/>
            <w:bookmarkStart w:id="94" w:name="_Toc28594"/>
            <w:bookmarkStart w:id="95" w:name="_Toc31536"/>
            <w:bookmarkStart w:id="96" w:name="_Toc1187"/>
            <w:bookmarkStart w:id="97" w:name="_Toc1007"/>
            <w:bookmarkStart w:id="98" w:name="_Toc15411"/>
            <w:bookmarkStart w:id="99" w:name="_Toc25965"/>
            <w:r>
              <w:rPr>
                <w:rFonts w:hint="eastAsia" w:ascii="仿宋" w:hAnsi="仿宋" w:eastAsia="仿宋" w:cs="仿宋"/>
                <w:color w:val="auto"/>
                <w:sz w:val="28"/>
                <w:szCs w:val="28"/>
                <w:lang w:eastAsia="zh-CN"/>
              </w:rPr>
              <w:t>数量</w:t>
            </w:r>
          </w:p>
        </w:tc>
        <w:tc>
          <w:tcPr>
            <w:tcW w:w="2400"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8"/>
                <w:szCs w:val="28"/>
              </w:rPr>
            </w:pPr>
            <w:r>
              <w:rPr>
                <w:rFonts w:hint="eastAsia" w:ascii="仿宋" w:hAnsi="仿宋" w:eastAsia="仿宋" w:cs="仿宋"/>
                <w:color w:val="auto"/>
                <w:sz w:val="28"/>
                <w:szCs w:val="28"/>
              </w:rPr>
              <w:t>预算</w:t>
            </w:r>
            <w:bookmarkEnd w:id="93"/>
            <w:bookmarkEnd w:id="94"/>
            <w:bookmarkEnd w:id="95"/>
            <w:bookmarkEnd w:id="96"/>
            <w:bookmarkEnd w:id="97"/>
            <w:bookmarkEnd w:id="98"/>
            <w:bookmarkEnd w:id="99"/>
          </w:p>
        </w:tc>
        <w:tc>
          <w:tcPr>
            <w:tcW w:w="1995"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8"/>
                <w:szCs w:val="28"/>
                <w:lang w:val="en-US" w:eastAsia="zh-CN"/>
              </w:rPr>
            </w:pPr>
            <w:bookmarkStart w:id="100" w:name="_Toc24866"/>
            <w:bookmarkStart w:id="101" w:name="_Toc19394"/>
            <w:bookmarkStart w:id="102" w:name="_Toc16836"/>
            <w:bookmarkStart w:id="103" w:name="_Toc519"/>
            <w:r>
              <w:rPr>
                <w:rFonts w:hint="eastAsia" w:ascii="仿宋" w:hAnsi="仿宋" w:eastAsia="仿宋" w:cs="仿宋"/>
                <w:color w:val="auto"/>
                <w:sz w:val="28"/>
                <w:szCs w:val="28"/>
                <w:lang w:val="en-US" w:eastAsia="zh-CN"/>
              </w:rPr>
              <w:t>资金来源</w:t>
            </w:r>
            <w:bookmarkEnd w:id="100"/>
            <w:bookmarkEnd w:id="101"/>
            <w:bookmarkEnd w:id="102"/>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3395" w:type="dxa"/>
            <w:tcBorders>
              <w:top w:val="single" w:color="auto" w:sz="4" w:space="0"/>
              <w:left w:val="single" w:color="auto" w:sz="4" w:space="0"/>
              <w:bottom w:val="single" w:color="auto" w:sz="4" w:space="0"/>
              <w:right w:val="single" w:color="auto" w:sz="4" w:space="0"/>
            </w:tcBorders>
            <w:vAlign w:val="center"/>
          </w:tcPr>
          <w:p>
            <w:pPr>
              <w:pStyle w:val="5"/>
              <w:spacing w:before="0" w:after="0" w:line="440" w:lineRule="exact"/>
              <w:jc w:val="center"/>
              <w:rPr>
                <w:rFonts w:hint="eastAsia" w:ascii="仿宋" w:hAnsi="仿宋" w:eastAsia="仿宋" w:cs="仿宋"/>
                <w:b w:val="0"/>
                <w:bCs w:val="0"/>
                <w:color w:val="auto"/>
                <w:kern w:val="2"/>
                <w:sz w:val="28"/>
                <w:szCs w:val="28"/>
                <w:highlight w:val="none"/>
                <w:lang w:eastAsia="zh-CN"/>
              </w:rPr>
            </w:pPr>
            <w:r>
              <w:rPr>
                <w:rFonts w:hint="eastAsia" w:ascii="仿宋" w:hAnsi="仿宋" w:eastAsia="仿宋" w:cs="仿宋"/>
                <w:b w:val="0"/>
                <w:bCs w:val="0"/>
                <w:color w:val="auto"/>
                <w:kern w:val="2"/>
                <w:sz w:val="28"/>
                <w:szCs w:val="28"/>
                <w:highlight w:val="none"/>
                <w:lang w:eastAsia="zh-CN"/>
              </w:rPr>
              <w:t>中心计量和关键设备现场</w:t>
            </w:r>
          </w:p>
          <w:p>
            <w:pPr>
              <w:pStyle w:val="5"/>
              <w:spacing w:before="0" w:after="0" w:line="440" w:lineRule="exact"/>
              <w:jc w:val="center"/>
              <w:rPr>
                <w:rFonts w:hint="eastAsia" w:ascii="仿宋" w:hAnsi="仿宋" w:eastAsia="仿宋" w:cs="仿宋"/>
                <w:b w:val="0"/>
                <w:bCs w:val="0"/>
                <w:color w:val="auto"/>
                <w:kern w:val="2"/>
                <w:sz w:val="28"/>
                <w:szCs w:val="28"/>
                <w:highlight w:val="none"/>
              </w:rPr>
            </w:pPr>
            <w:r>
              <w:rPr>
                <w:rFonts w:hint="eastAsia" w:ascii="仿宋" w:hAnsi="仿宋" w:eastAsia="仿宋" w:cs="仿宋"/>
                <w:b w:val="0"/>
                <w:bCs w:val="0"/>
                <w:color w:val="auto"/>
                <w:kern w:val="2"/>
                <w:sz w:val="28"/>
                <w:szCs w:val="28"/>
                <w:highlight w:val="none"/>
                <w:lang w:eastAsia="zh-CN"/>
              </w:rPr>
              <w:t>检测服务</w:t>
            </w:r>
          </w:p>
        </w:tc>
        <w:tc>
          <w:tcPr>
            <w:tcW w:w="1530" w:type="dxa"/>
            <w:tcBorders>
              <w:top w:val="single" w:color="auto" w:sz="4" w:space="0"/>
              <w:left w:val="single" w:color="auto" w:sz="4" w:space="0"/>
              <w:bottom w:val="single" w:color="auto" w:sz="4" w:space="0"/>
              <w:right w:val="single" w:color="auto" w:sz="4" w:space="0"/>
            </w:tcBorders>
            <w:vAlign w:val="center"/>
          </w:tcPr>
          <w:p>
            <w:pPr>
              <w:pStyle w:val="5"/>
              <w:spacing w:before="0" w:after="0" w:line="440" w:lineRule="exact"/>
              <w:ind w:firstLine="560" w:firstLineChars="200"/>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1批</w:t>
            </w:r>
          </w:p>
        </w:tc>
        <w:tc>
          <w:tcPr>
            <w:tcW w:w="2400" w:type="dxa"/>
            <w:tcBorders>
              <w:top w:val="single" w:color="auto" w:sz="4" w:space="0"/>
              <w:left w:val="single" w:color="auto" w:sz="4" w:space="0"/>
              <w:bottom w:val="single" w:color="auto" w:sz="4" w:space="0"/>
              <w:right w:val="single" w:color="auto" w:sz="4" w:space="0"/>
            </w:tcBorders>
            <w:vAlign w:val="center"/>
          </w:tcPr>
          <w:p>
            <w:pPr>
              <w:pStyle w:val="5"/>
              <w:spacing w:before="0" w:after="0" w:line="440" w:lineRule="exact"/>
              <w:ind w:firstLine="560" w:firstLineChars="200"/>
              <w:rPr>
                <w:rFonts w:hint="eastAsia" w:ascii="仿宋" w:hAnsi="仿宋" w:eastAsia="仿宋" w:cs="仿宋"/>
                <w:b w:val="0"/>
                <w:bCs w:val="0"/>
                <w:color w:val="auto"/>
                <w:kern w:val="2"/>
                <w:sz w:val="28"/>
                <w:szCs w:val="28"/>
                <w:highlight w:val="none"/>
                <w:lang w:eastAsia="zh-CN"/>
              </w:rPr>
            </w:pPr>
            <w:r>
              <w:rPr>
                <w:rFonts w:hint="eastAsia" w:ascii="仿宋" w:hAnsi="仿宋" w:eastAsia="仿宋" w:cs="仿宋"/>
                <w:b w:val="0"/>
                <w:bCs w:val="0"/>
                <w:color w:val="auto"/>
                <w:kern w:val="2"/>
                <w:sz w:val="28"/>
                <w:szCs w:val="28"/>
                <w:highlight w:val="none"/>
                <w:lang w:val="en-US" w:eastAsia="zh-CN"/>
              </w:rPr>
              <w:t>10</w:t>
            </w:r>
            <w:r>
              <w:rPr>
                <w:rFonts w:hint="eastAsia" w:ascii="仿宋" w:hAnsi="仿宋" w:eastAsia="仿宋" w:cs="仿宋"/>
                <w:b w:val="0"/>
                <w:bCs w:val="0"/>
                <w:color w:val="auto"/>
                <w:kern w:val="2"/>
                <w:sz w:val="28"/>
                <w:szCs w:val="28"/>
                <w:highlight w:val="none"/>
                <w:lang w:eastAsia="zh-CN"/>
              </w:rPr>
              <w:t>万元</w:t>
            </w:r>
          </w:p>
        </w:tc>
        <w:tc>
          <w:tcPr>
            <w:tcW w:w="1995" w:type="dxa"/>
            <w:tcBorders>
              <w:top w:val="single" w:color="auto" w:sz="4" w:space="0"/>
              <w:left w:val="single" w:color="auto" w:sz="4" w:space="0"/>
              <w:bottom w:val="single" w:color="auto" w:sz="4" w:space="0"/>
              <w:right w:val="single" w:color="auto" w:sz="4" w:space="0"/>
            </w:tcBorders>
            <w:vAlign w:val="center"/>
          </w:tcPr>
          <w:p>
            <w:pPr>
              <w:pStyle w:val="5"/>
              <w:spacing w:before="0" w:after="0" w:line="440" w:lineRule="exact"/>
              <w:jc w:val="center"/>
              <w:rPr>
                <w:rFonts w:hint="eastAsia" w:ascii="仿宋" w:hAnsi="仿宋" w:eastAsia="仿宋" w:cs="仿宋"/>
                <w:b w:val="0"/>
                <w:bCs w:val="0"/>
                <w:color w:val="auto"/>
                <w:kern w:val="2"/>
                <w:sz w:val="28"/>
                <w:szCs w:val="28"/>
                <w:highlight w:val="none"/>
              </w:rPr>
            </w:pPr>
            <w:r>
              <w:rPr>
                <w:rFonts w:hint="eastAsia" w:ascii="仿宋" w:hAnsi="仿宋" w:eastAsia="仿宋" w:cs="仿宋"/>
                <w:b w:val="0"/>
                <w:bCs w:val="0"/>
                <w:color w:val="auto"/>
                <w:kern w:val="2"/>
                <w:sz w:val="28"/>
                <w:szCs w:val="28"/>
                <w:highlight w:val="none"/>
              </w:rPr>
              <w:t>财政资金</w:t>
            </w:r>
          </w:p>
        </w:tc>
      </w:tr>
    </w:tbl>
    <w:p>
      <w:pPr>
        <w:spacing w:line="400" w:lineRule="exact"/>
        <w:ind w:firstLine="210" w:firstLineChars="100"/>
        <w:outlineLvl w:val="1"/>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color w:val="auto"/>
          <w:sz w:val="21"/>
          <w:szCs w:val="21"/>
          <w:highlight w:val="none"/>
          <w:lang w:val="en-US" w:eastAsia="zh-CN"/>
        </w:rPr>
        <w:t xml:space="preserve">  </w:t>
      </w:r>
    </w:p>
    <w:p>
      <w:pPr>
        <w:pStyle w:val="5"/>
        <w:numPr>
          <w:ilvl w:val="0"/>
          <w:numId w:val="2"/>
        </w:numPr>
        <w:spacing w:before="0" w:after="0" w:line="440" w:lineRule="exact"/>
        <w:jc w:val="both"/>
        <w:rPr>
          <w:rFonts w:hint="eastAsia"/>
          <w:color w:val="auto"/>
          <w:highlight w:val="none"/>
          <w:lang w:val="en-US" w:eastAsia="zh-CN"/>
        </w:rPr>
      </w:pPr>
      <w:r>
        <w:rPr>
          <w:rFonts w:hint="eastAsia"/>
          <w:color w:val="auto"/>
          <w:highlight w:val="none"/>
          <w:lang w:val="en-US" w:eastAsia="zh-CN"/>
        </w:rPr>
        <w:t>项目参数</w:t>
      </w:r>
      <w:bookmarkEnd w:id="85"/>
      <w:bookmarkEnd w:id="86"/>
      <w:bookmarkEnd w:id="87"/>
      <w:r>
        <w:rPr>
          <w:rFonts w:hint="eastAsia"/>
          <w:color w:val="auto"/>
          <w:highlight w:val="none"/>
          <w:lang w:val="en-US" w:eastAsia="zh-CN"/>
        </w:rPr>
        <w:t xml:space="preserve"> </w:t>
      </w:r>
    </w:p>
    <w:p>
      <w:pPr>
        <w:snapToGrid w:val="0"/>
        <w:spacing w:line="52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（一）项目情况</w:t>
      </w:r>
    </w:p>
    <w:tbl>
      <w:tblPr>
        <w:tblStyle w:val="31"/>
        <w:tblpPr w:leftFromText="180" w:rightFromText="180" w:vertAnchor="text" w:horzAnchor="page" w:tblpX="1217" w:tblpY="474"/>
        <w:tblOverlap w:val="never"/>
        <w:tblW w:w="9602" w:type="dxa"/>
        <w:tblInd w:w="0" w:type="dxa"/>
        <w:tblLayout w:type="fixed"/>
        <w:tblCellMar>
          <w:top w:w="0" w:type="dxa"/>
          <w:left w:w="0" w:type="dxa"/>
          <w:bottom w:w="0" w:type="dxa"/>
          <w:right w:w="0" w:type="dxa"/>
        </w:tblCellMar>
      </w:tblPr>
      <w:tblGrid>
        <w:gridCol w:w="490"/>
        <w:gridCol w:w="1388"/>
        <w:gridCol w:w="2071"/>
        <w:gridCol w:w="2605"/>
        <w:gridCol w:w="1316"/>
        <w:gridCol w:w="795"/>
        <w:gridCol w:w="937"/>
      </w:tblGrid>
      <w:tr>
        <w:tblPrEx>
          <w:tblLayout w:type="fixed"/>
          <w:tblCellMar>
            <w:top w:w="0" w:type="dxa"/>
            <w:left w:w="0" w:type="dxa"/>
            <w:bottom w:w="0" w:type="dxa"/>
            <w:right w:w="0" w:type="dxa"/>
          </w:tblCellMar>
        </w:tblPrEx>
        <w:trPr>
          <w:trHeight w:val="36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bookmarkStart w:id="104" w:name="_Toc65660341"/>
            <w:bookmarkStart w:id="105" w:name="_Toc13356"/>
            <w:bookmarkStart w:id="106" w:name="_Toc523"/>
            <w:bookmarkStart w:id="107" w:name="_Toc15492"/>
            <w:bookmarkStart w:id="108" w:name="_Toc106034781"/>
            <w:r>
              <w:rPr>
                <w:rFonts w:hint="eastAsia" w:ascii="宋体" w:hAnsi="宋体" w:eastAsia="宋体" w:cs="宋体"/>
                <w:b/>
                <w:i w:val="0"/>
                <w:color w:val="000000"/>
                <w:kern w:val="0"/>
                <w:sz w:val="24"/>
                <w:szCs w:val="24"/>
                <w:u w:val="none"/>
                <w:lang w:val="en-US" w:eastAsia="zh-CN" w:bidi="ar"/>
              </w:rPr>
              <w:t>序号</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仪器名称</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型号规格</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检测要求</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服务方式</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78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PCR扩增仪</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Veriti Dx/7500/9700/BIO-RAD</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JJF 1527-2015 聚合酶链反应分析仪校准规范</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洁净工作台</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HCB-1300V</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悬浮粒子（百级）、下降风速、照度、振动、噪声。加检：高效过滤器检漏、气流组织、浮游菌（2皿）、沉降菌（5皿）。紫外辐照度</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离心机</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KA2200/SIGMA 1-15/U32/Ortho Biovue/TD-3A/TDL5M/Kubota 8730</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测转速和温度</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31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洁净室</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血液制备科净化间</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悬浮粒子，沉降菌，浮游菌，换气次数，静压差，噪声，照度，温度，相对湿度。其中沉降菌，浮游菌静态，动态分别测试</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洁净室</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血液制备科缓冲间1</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悬浮粒子，沉降菌，浮游菌，换气次数，静压差，噪声，照度，温度，相对湿度。其中沉降菌，浮游菌静态，动态分别测试</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洁净室</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血液制备科缓冲间2</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悬浮粒子，沉降菌，浮游菌，换气次数，静压差，噪声，照度，温度，相对湿度。其中沉降菌，浮游菌静态，动态分别测试</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洁净室</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质管科无菌室</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悬浮粒子，沉降菌，浮游菌，换气次数，静压差，噪声，照度，温度，相对湿度。其中沉降菌，浮游菌静态，动态分别测试</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73"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洁净室</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质管科无菌室缓冲间</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悬浮粒子，沉降菌，浮游菌，换气次数，静压差，噪声，照度，温度，相对湿度。其中沉降菌，浮游菌静态，动态分别测试</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72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可见分光光度计</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EV-2600RN</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JJG 178-2007 紫外、可见、近红外分光光度计检定规程</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酶标分析仪</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Elx 808</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JJG 861-2007 酶标分析仪检定规程</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44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凝胶成像系统</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Fird rader V10</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66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全自动生化分析仪</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AU680,AU640,AU400</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YY/T 0654-2017 全自动生化分析仪</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144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生物安全柜</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BSC-1500ⅡB2-X</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悬浮粒子，下降气流流速，流入气流流速，照度，噪声，振动，气流流型，沉降菌14皿，浮游菌2皿，高效过滤器检漏，气流模式，紫外辐照度</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酸度计</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PB-10</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JJG 119-2018 实验室pH(酸度)计检定规程</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DNA浓度测定仪</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NANO-100</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JJF 1836-2020 微量分光光度计校准规范</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核酸自动提取仪</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HF16</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JJF 1874-2020 (自动)核酸提取仪校准规范</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895"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紫外线消毒灯</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WS/T 367-2012 医疗机构消毒技术规范</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72</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895"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紫外线消毒车</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ZXC</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WS/T 367-2012 医疗机构消毒技术规范</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895"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紫外线杀菌车</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4型</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WS/T 367-2012 医疗机构消毒技术规范</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895"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冰箱温度计</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（-100~50）</w:t>
            </w:r>
            <w:r>
              <w:rPr>
                <w:rFonts w:hint="default" w:ascii="Arial" w:hAnsi="Arial" w:eastAsia="宋体" w:cs="Arial"/>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/0.5</w:t>
            </w:r>
            <w:r>
              <w:rPr>
                <w:rFonts w:hint="default" w:ascii="Arial" w:hAnsi="Arial" w:eastAsia="宋体" w:cs="Arial"/>
                <w:i w:val="0"/>
                <w:color w:val="000000"/>
                <w:kern w:val="0"/>
                <w:sz w:val="21"/>
                <w:szCs w:val="21"/>
                <w:u w:val="none"/>
                <w:lang w:val="en-US" w:eastAsia="zh-CN" w:bidi="ar"/>
              </w:rPr>
              <w:t>℃</w:t>
            </w: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超低温检测符合JJF 1059.1-2012</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550" w:hRule="atLeast"/>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     计</w:t>
            </w:r>
          </w:p>
        </w:tc>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163</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bl>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我中心属于医疗卫生机构，只认可国家规范JJG、计量技术规范JJF和行业标准，</w:t>
      </w:r>
      <w:r>
        <w:rPr>
          <w:rFonts w:hint="eastAsia" w:ascii="仿宋" w:hAnsi="仿宋" w:eastAsia="仿宋" w:cs="仿宋"/>
          <w:b/>
          <w:bCs/>
          <w:color w:val="auto"/>
          <w:sz w:val="28"/>
          <w:szCs w:val="28"/>
          <w:highlight w:val="none"/>
          <w:lang w:val="en-US" w:eastAsia="zh-CN"/>
        </w:rPr>
        <w:t>其中企业内部自编规范方法不认可（企业内部自编规范前2位编号属于本企业大写简称）。</w:t>
      </w:r>
    </w:p>
    <w:p>
      <w:pPr>
        <w:pStyle w:val="4"/>
        <w:keepNext/>
        <w:keepLines/>
        <w:pageBreakBefore w:val="0"/>
        <w:widowControl w:val="0"/>
        <w:numPr>
          <w:ilvl w:val="0"/>
          <w:numId w:val="3"/>
        </w:numPr>
        <w:kinsoku/>
        <w:wordWrap/>
        <w:overflowPunct/>
        <w:topLinePunct w:val="0"/>
        <w:autoSpaceDE/>
        <w:autoSpaceDN/>
        <w:bidi w:val="0"/>
        <w:adjustRightInd/>
        <w:snapToGrid w:val="0"/>
        <w:spacing w:line="560" w:lineRule="exact"/>
        <w:textAlignment w:val="auto"/>
        <w:outlineLvl w:val="0"/>
        <w:rPr>
          <w:rFonts w:hint="eastAsia"/>
        </w:rPr>
      </w:pPr>
      <w:r>
        <w:rPr>
          <w:rFonts w:hint="eastAsia"/>
          <w:color w:val="auto"/>
        </w:rPr>
        <w:t>其他</w:t>
      </w:r>
    </w:p>
    <w:p>
      <w:pPr>
        <w:rPr>
          <w:rFonts w:hint="eastAsia"/>
        </w:rPr>
      </w:pPr>
    </w:p>
    <w:p>
      <w:pPr>
        <w:spacing w:line="400" w:lineRule="exact"/>
        <w:ind w:firstLine="280" w:firstLineChars="100"/>
        <w:outlineLvl w:val="1"/>
        <w:rPr>
          <w:rFonts w:hint="eastAsia" w:ascii="仿宋" w:hAnsi="仿宋" w:eastAsia="仿宋" w:cs="仿宋"/>
          <w:color w:val="auto"/>
          <w:sz w:val="28"/>
          <w:szCs w:val="28"/>
          <w:highlight w:val="none"/>
        </w:rPr>
      </w:pPr>
      <w:bookmarkStart w:id="109" w:name="_Toc354"/>
      <w:bookmarkStart w:id="110" w:name="_Toc2747"/>
      <w:bookmarkStart w:id="111" w:name="_Toc10896"/>
      <w:bookmarkStart w:id="112" w:name="_Toc31552"/>
      <w:bookmarkStart w:id="113" w:name="_Toc12407"/>
      <w:bookmarkStart w:id="114" w:name="_Toc32475"/>
      <w:bookmarkStart w:id="115" w:name="_Toc20188"/>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lang w:eastAsia="zh-Hans"/>
        </w:rPr>
        <w:t>投标人</w:t>
      </w:r>
      <w:r>
        <w:rPr>
          <w:rFonts w:hint="eastAsia" w:ascii="仿宋" w:hAnsi="仿宋" w:eastAsia="仿宋" w:cs="仿宋"/>
          <w:color w:val="auto"/>
          <w:sz w:val="28"/>
          <w:szCs w:val="28"/>
          <w:highlight w:val="none"/>
        </w:rPr>
        <w:t>必须对以上条款和服务</w:t>
      </w:r>
      <w:r>
        <w:rPr>
          <w:rFonts w:hint="eastAsia" w:ascii="仿宋" w:hAnsi="仿宋" w:eastAsia="仿宋" w:cs="仿宋"/>
          <w:color w:val="auto"/>
          <w:sz w:val="28"/>
          <w:szCs w:val="28"/>
          <w:highlight w:val="none"/>
          <w:lang w:eastAsia="zh-CN"/>
        </w:rPr>
        <w:t>一一对应</w:t>
      </w:r>
      <w:r>
        <w:rPr>
          <w:rFonts w:hint="eastAsia" w:ascii="仿宋" w:hAnsi="仿宋" w:eastAsia="仿宋" w:cs="仿宋"/>
          <w:color w:val="auto"/>
          <w:sz w:val="28"/>
          <w:szCs w:val="28"/>
          <w:highlight w:val="none"/>
        </w:rPr>
        <w:t>承诺明确列出，承诺内容必须达到要求。</w:t>
      </w:r>
      <w:bookmarkEnd w:id="109"/>
      <w:bookmarkEnd w:id="110"/>
      <w:bookmarkEnd w:id="111"/>
      <w:bookmarkEnd w:id="112"/>
      <w:bookmarkEnd w:id="113"/>
      <w:bookmarkEnd w:id="114"/>
      <w:bookmarkEnd w:id="115"/>
    </w:p>
    <w:p>
      <w:pPr>
        <w:spacing w:line="400" w:lineRule="exact"/>
        <w:ind w:firstLine="280" w:firstLineChars="100"/>
        <w:outlineLvl w:val="1"/>
        <w:rPr>
          <w:rFonts w:hint="eastAsia" w:ascii="仿宋" w:hAnsi="仿宋" w:eastAsia="仿宋" w:cs="仿宋"/>
          <w:color w:val="auto"/>
          <w:sz w:val="28"/>
          <w:szCs w:val="28"/>
          <w:highlight w:val="none"/>
        </w:rPr>
      </w:pPr>
      <w:bookmarkStart w:id="116" w:name="_Toc31797"/>
      <w:bookmarkStart w:id="117" w:name="_Toc6178"/>
      <w:bookmarkStart w:id="118" w:name="_Toc11602"/>
      <w:bookmarkStart w:id="119" w:name="_Toc6439"/>
      <w:bookmarkStart w:id="120" w:name="_Toc18664"/>
      <w:bookmarkStart w:id="121" w:name="_Toc30477"/>
      <w:bookmarkStart w:id="122" w:name="_Toc27746"/>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其他未尽事宜由供需双方在采购合同中详细约定。</w:t>
      </w:r>
      <w:bookmarkEnd w:id="116"/>
      <w:bookmarkEnd w:id="117"/>
      <w:bookmarkEnd w:id="118"/>
      <w:bookmarkEnd w:id="119"/>
      <w:bookmarkEnd w:id="120"/>
      <w:bookmarkEnd w:id="121"/>
      <w:bookmarkEnd w:id="122"/>
    </w:p>
    <w:p>
      <w:pPr>
        <w:spacing w:line="400" w:lineRule="exact"/>
        <w:ind w:firstLine="280" w:firstLineChars="100"/>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lang w:eastAsia="zh-Hans"/>
        </w:rPr>
        <w:t>投标人</w:t>
      </w:r>
      <w:r>
        <w:rPr>
          <w:rFonts w:hint="eastAsia" w:ascii="仿宋" w:hAnsi="仿宋" w:eastAsia="仿宋" w:cs="仿宋"/>
          <w:color w:val="auto"/>
          <w:sz w:val="28"/>
          <w:szCs w:val="28"/>
          <w:highlight w:val="none"/>
        </w:rPr>
        <w:t>须保证本项目中所使用的软件或其向采购</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提供的所有材料权利不会侵犯任何第三人的版权、专利权或商标权等知识产权或其他权利，不违反任何第三方的信息专有权，若因</w:t>
      </w:r>
      <w:r>
        <w:rPr>
          <w:rFonts w:hint="eastAsia" w:ascii="仿宋" w:hAnsi="仿宋" w:eastAsia="仿宋" w:cs="仿宋"/>
          <w:color w:val="auto"/>
          <w:sz w:val="28"/>
          <w:szCs w:val="28"/>
          <w:highlight w:val="none"/>
          <w:lang w:eastAsia="zh-Hans"/>
        </w:rPr>
        <w:t>投标人</w:t>
      </w:r>
      <w:r>
        <w:rPr>
          <w:rFonts w:hint="eastAsia" w:ascii="仿宋" w:hAnsi="仿宋" w:eastAsia="仿宋" w:cs="仿宋"/>
          <w:color w:val="auto"/>
          <w:sz w:val="28"/>
          <w:szCs w:val="28"/>
          <w:highlight w:val="none"/>
        </w:rPr>
        <w:t>原因导致的知识产权纠纷，由</w:t>
      </w:r>
      <w:r>
        <w:rPr>
          <w:rFonts w:hint="eastAsia" w:ascii="仿宋" w:hAnsi="仿宋" w:eastAsia="仿宋" w:cs="仿宋"/>
          <w:color w:val="auto"/>
          <w:sz w:val="28"/>
          <w:szCs w:val="28"/>
          <w:highlight w:val="none"/>
          <w:lang w:eastAsia="zh-Hans"/>
        </w:rPr>
        <w:t>投标人</w:t>
      </w:r>
      <w:r>
        <w:rPr>
          <w:rFonts w:hint="eastAsia" w:ascii="仿宋" w:hAnsi="仿宋" w:eastAsia="仿宋" w:cs="仿宋"/>
          <w:color w:val="auto"/>
          <w:sz w:val="28"/>
          <w:szCs w:val="28"/>
          <w:highlight w:val="none"/>
        </w:rPr>
        <w:t>承担全部责任。</w:t>
      </w: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rPr>
      </w:pPr>
    </w:p>
    <w:p>
      <w:pPr>
        <w:pStyle w:val="3"/>
        <w:bidi w:val="0"/>
        <w:jc w:val="center"/>
        <w:rPr>
          <w:rFonts w:hint="eastAsia"/>
          <w:color w:val="auto"/>
          <w:highlight w:val="none"/>
        </w:rPr>
      </w:pPr>
      <w:bookmarkStart w:id="123" w:name="_Toc24792"/>
      <w:bookmarkStart w:id="124" w:name="_Toc6059"/>
      <w:bookmarkStart w:id="125" w:name="_Toc31651"/>
      <w:r>
        <w:rPr>
          <w:rFonts w:hint="eastAsia"/>
          <w:color w:val="auto"/>
          <w:highlight w:val="none"/>
        </w:rPr>
        <w:t>第三篇  询比项目服务</w:t>
      </w:r>
      <w:bookmarkEnd w:id="104"/>
      <w:bookmarkEnd w:id="105"/>
      <w:bookmarkEnd w:id="106"/>
      <w:bookmarkEnd w:id="107"/>
      <w:r>
        <w:rPr>
          <w:rFonts w:hint="eastAsia"/>
          <w:color w:val="auto"/>
          <w:highlight w:val="none"/>
        </w:rPr>
        <w:t>需求</w:t>
      </w:r>
      <w:bookmarkEnd w:id="108"/>
      <w:bookmarkEnd w:id="123"/>
      <w:bookmarkEnd w:id="124"/>
      <w:bookmarkEnd w:id="125"/>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color w:val="auto"/>
        </w:rPr>
      </w:pPr>
      <w:bookmarkStart w:id="126" w:name="_Toc480882274"/>
      <w:bookmarkStart w:id="127" w:name="_Toc344475120"/>
      <w:bookmarkStart w:id="128" w:name="_Toc21466"/>
      <w:bookmarkStart w:id="129" w:name="_Toc4328"/>
      <w:bookmarkStart w:id="130" w:name="_Toc2555"/>
      <w:bookmarkStart w:id="131" w:name="_Toc501099926"/>
      <w:bookmarkStart w:id="132" w:name="_Toc517773743"/>
      <w:bookmarkStart w:id="133" w:name="_Toc106034789"/>
      <w:bookmarkStart w:id="134" w:name="_Toc31282"/>
      <w:bookmarkStart w:id="135" w:name="_Toc16123"/>
      <w:bookmarkStart w:id="136" w:name="_Toc65660349"/>
      <w:bookmarkStart w:id="137" w:name="_Toc24195"/>
      <w:r>
        <w:rPr>
          <w:rFonts w:hint="eastAsia"/>
          <w:color w:val="auto"/>
        </w:rPr>
        <w:t>一、</w:t>
      </w:r>
      <w:r>
        <w:rPr>
          <w:rFonts w:hint="eastAsia"/>
          <w:color w:val="auto"/>
          <w:lang w:val="en-US" w:eastAsia="zh-CN"/>
        </w:rPr>
        <w:t>服务期限</w:t>
      </w:r>
      <w:r>
        <w:rPr>
          <w:rFonts w:hint="eastAsia"/>
          <w:color w:val="auto"/>
        </w:rPr>
        <w:t>、地点</w:t>
      </w:r>
      <w:bookmarkEnd w:id="126"/>
      <w:bookmarkEnd w:id="127"/>
      <w:bookmarkEnd w:id="128"/>
      <w:bookmarkEnd w:id="129"/>
      <w:bookmarkEnd w:id="130"/>
      <w:bookmarkEnd w:id="131"/>
      <w:bookmarkEnd w:id="132"/>
    </w:p>
    <w:p>
      <w:pPr>
        <w:numPr>
          <w:ilvl w:val="0"/>
          <w:numId w:val="4"/>
        </w:numPr>
        <w:snapToGrid w:val="0"/>
        <w:spacing w:line="520" w:lineRule="exact"/>
        <w:ind w:left="0" w:leftChars="0" w:firstLine="420" w:firstLineChars="0"/>
        <w:rPr>
          <w:rFonts w:hint="eastAsia" w:ascii="仿宋" w:hAnsi="仿宋" w:eastAsia="仿宋" w:cs="仿宋"/>
          <w:color w:val="auto"/>
          <w:sz w:val="28"/>
          <w:szCs w:val="28"/>
          <w:lang w:val="en-US" w:eastAsia="zh-CN"/>
        </w:rPr>
      </w:pPr>
      <w:bookmarkStart w:id="138" w:name="_Toc24661"/>
      <w:bookmarkStart w:id="139" w:name="_Toc501099927"/>
      <w:bookmarkStart w:id="140" w:name="_Toc23235"/>
      <w:bookmarkStart w:id="141" w:name="_Toc8934"/>
      <w:bookmarkStart w:id="142" w:name="_Toc344475121"/>
      <w:bookmarkStart w:id="143" w:name="_Toc9391"/>
      <w:bookmarkStart w:id="144" w:name="_Toc517773744"/>
      <w:bookmarkStart w:id="145" w:name="_Toc480882275"/>
      <w:r>
        <w:rPr>
          <w:rFonts w:hint="eastAsia" w:ascii="仿宋" w:hAnsi="仿宋" w:eastAsia="仿宋" w:cs="仿宋"/>
          <w:color w:val="auto"/>
          <w:sz w:val="28"/>
          <w:szCs w:val="28"/>
          <w:lang w:val="en-US" w:eastAsia="zh-CN"/>
        </w:rPr>
        <w:t>服务时间：合同签订之日起一年。</w:t>
      </w:r>
    </w:p>
    <w:p>
      <w:pPr>
        <w:numPr>
          <w:ilvl w:val="0"/>
          <w:numId w:val="4"/>
        </w:numPr>
        <w:snapToGrid w:val="0"/>
        <w:spacing w:line="520" w:lineRule="exact"/>
        <w:ind w:left="0" w:leftChars="0" w:firstLine="42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服务地点 ：采购人指定地点。</w:t>
      </w:r>
    </w:p>
    <w:bookmarkEnd w:id="138"/>
    <w:bookmarkEnd w:id="139"/>
    <w:bookmarkEnd w:id="140"/>
    <w:bookmarkEnd w:id="141"/>
    <w:bookmarkEnd w:id="142"/>
    <w:bookmarkEnd w:id="143"/>
    <w:bookmarkEnd w:id="144"/>
    <w:bookmarkEnd w:id="145"/>
    <w:p>
      <w:pPr>
        <w:pStyle w:val="4"/>
        <w:keepNext/>
        <w:keepLines/>
        <w:pageBreakBefore w:val="0"/>
        <w:widowControl w:val="0"/>
        <w:numPr>
          <w:ilvl w:val="0"/>
          <w:numId w:val="5"/>
        </w:numPr>
        <w:kinsoku/>
        <w:wordWrap/>
        <w:overflowPunct/>
        <w:topLinePunct w:val="0"/>
        <w:autoSpaceDE/>
        <w:autoSpaceDN/>
        <w:bidi w:val="0"/>
        <w:adjustRightInd/>
        <w:snapToGrid w:val="0"/>
        <w:spacing w:line="560" w:lineRule="exact"/>
        <w:textAlignment w:val="auto"/>
        <w:outlineLvl w:val="0"/>
        <w:rPr>
          <w:rFonts w:hint="eastAsia" w:ascii="仿宋" w:hAnsi="仿宋" w:eastAsia="仿宋" w:cs="仿宋"/>
          <w:b/>
          <w:bCs/>
          <w:color w:val="auto"/>
          <w:kern w:val="0"/>
          <w:sz w:val="32"/>
          <w:szCs w:val="32"/>
          <w:lang w:val="en-US" w:eastAsia="zh-CN" w:bidi="ar-SA"/>
        </w:rPr>
      </w:pPr>
      <w:bookmarkStart w:id="146" w:name="_Toc7336"/>
      <w:bookmarkStart w:id="147" w:name="_Toc480882276"/>
      <w:bookmarkStart w:id="148" w:name="_Toc344475122"/>
      <w:bookmarkStart w:id="149" w:name="_Toc501099928"/>
      <w:r>
        <w:rPr>
          <w:rFonts w:hint="eastAsia" w:ascii="仿宋" w:hAnsi="仿宋" w:eastAsia="仿宋" w:cs="仿宋"/>
          <w:b/>
          <w:bCs/>
          <w:color w:val="auto"/>
          <w:kern w:val="0"/>
          <w:sz w:val="32"/>
          <w:szCs w:val="32"/>
          <w:lang w:val="en-US" w:eastAsia="zh-CN" w:bidi="ar-SA"/>
        </w:rPr>
        <w:t>验收方式</w:t>
      </w:r>
      <w:bookmarkEnd w:id="146"/>
    </w:p>
    <w:p>
      <w:pPr>
        <w:numPr>
          <w:ilvl w:val="0"/>
          <w:numId w:val="0"/>
        </w:numPr>
        <w:snapToGrid w:val="0"/>
        <w:spacing w:line="52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中标人检测完毕并提供检测报告，采购人签字确认。</w:t>
      </w:r>
    </w:p>
    <w:p>
      <w:pPr>
        <w:numPr>
          <w:ilvl w:val="0"/>
          <w:numId w:val="0"/>
        </w:numPr>
        <w:rPr>
          <w:rFonts w:hint="default"/>
          <w:color w:val="auto"/>
          <w:lang w:val="en-US" w:eastAsia="zh-CN"/>
        </w:rPr>
      </w:pPr>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eastAsia="宋体" w:cs="Times New Roman"/>
          <w:b/>
          <w:bCs/>
          <w:color w:val="auto"/>
          <w:lang w:val="en-US" w:eastAsia="zh-CN"/>
        </w:rPr>
      </w:pPr>
      <w:bookmarkStart w:id="150" w:name="_Toc32683"/>
      <w:bookmarkStart w:id="151" w:name="_Toc6286"/>
      <w:bookmarkStart w:id="152" w:name="_Toc13837"/>
      <w:bookmarkStart w:id="153" w:name="_Toc11776"/>
      <w:bookmarkStart w:id="154" w:name="_Toc517773745"/>
      <w:r>
        <w:rPr>
          <w:rFonts w:hint="eastAsia" w:eastAsia="宋体" w:cs="Times New Roman"/>
          <w:b/>
          <w:bCs/>
          <w:color w:val="auto"/>
          <w:lang w:val="en-US" w:eastAsia="zh-CN"/>
        </w:rPr>
        <w:t>三、付款方式</w:t>
      </w:r>
      <w:bookmarkEnd w:id="147"/>
      <w:bookmarkEnd w:id="148"/>
      <w:bookmarkEnd w:id="149"/>
      <w:bookmarkEnd w:id="150"/>
      <w:bookmarkEnd w:id="151"/>
      <w:bookmarkEnd w:id="152"/>
      <w:bookmarkEnd w:id="153"/>
      <w:bookmarkEnd w:id="154"/>
      <w:r>
        <w:rPr>
          <w:rFonts w:hint="eastAsia" w:eastAsia="宋体" w:cs="Times New Roman"/>
          <w:b/>
          <w:bCs/>
          <w:color w:val="auto"/>
          <w:lang w:val="en-US" w:eastAsia="zh-CN"/>
        </w:rPr>
        <w:t xml:space="preserve"> </w:t>
      </w:r>
    </w:p>
    <w:p>
      <w:pPr>
        <w:snapToGrid w:val="0"/>
        <w:spacing w:line="52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中标人检测完毕并提供检测报告，经采购人确认后,中标人向采购人开具有效发票，采购人收到发票后以转账方式向中标人支付检测费用。</w:t>
      </w:r>
    </w:p>
    <w:p>
      <w:pPr>
        <w:pStyle w:val="2"/>
        <w:rPr>
          <w:rFonts w:hint="eastAsia" w:ascii="仿宋" w:hAnsi="仿宋" w:eastAsia="仿宋" w:cs="仿宋"/>
          <w:color w:val="auto"/>
          <w:sz w:val="28"/>
          <w:szCs w:val="28"/>
          <w:lang w:val="en-US" w:eastAsia="zh-CN"/>
        </w:rPr>
      </w:pP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r>
        <w:rPr>
          <w:rFonts w:hint="eastAsia"/>
          <w:b/>
          <w:bCs/>
          <w:color w:val="auto"/>
          <w:sz w:val="28"/>
          <w:szCs w:val="28"/>
          <w:highlight w:val="none"/>
          <w:lang w:val="en-US" w:eastAsia="zh-CN"/>
        </w:rPr>
        <w:t>四、本项目费用报价要求</w:t>
      </w:r>
    </w:p>
    <w:p>
      <w:pPr>
        <w:spacing w:line="312" w:lineRule="auto"/>
        <w:ind w:firstLine="420" w:firstLineChars="200"/>
        <w:rPr>
          <w:rFonts w:hint="eastAsia" w:ascii="仿宋" w:hAnsi="仿宋" w:eastAsia="仿宋" w:cs="仿宋"/>
          <w:sz w:val="28"/>
          <w:szCs w:val="28"/>
        </w:rPr>
      </w:pPr>
      <w:r>
        <w:rPr>
          <w:rFonts w:hint="eastAsia"/>
        </w:rPr>
        <w:t>（一）</w:t>
      </w:r>
      <w:r>
        <w:rPr>
          <w:rFonts w:hint="eastAsia" w:ascii="仿宋" w:hAnsi="仿宋" w:eastAsia="仿宋" w:cs="仿宋"/>
          <w:sz w:val="28"/>
          <w:szCs w:val="28"/>
        </w:rPr>
        <w:t>本项目采用总价包干的承包方式，中标人的投标报价金额包括：本项目所有货物的供货、运输、安装费、装卸费、税金、利润及风险等一切费用。采购单位不再为此向中标人支付其它任何费用，除非合同中另有规定的除外。</w:t>
      </w:r>
    </w:p>
    <w:p>
      <w:pPr>
        <w:spacing w:line="312" w:lineRule="auto"/>
        <w:ind w:firstLine="280" w:firstLineChars="1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二</w:t>
      </w:r>
      <w:r>
        <w:rPr>
          <w:rFonts w:hint="eastAsia" w:ascii="仿宋" w:hAnsi="仿宋" w:eastAsia="仿宋" w:cs="仿宋"/>
          <w:sz w:val="28"/>
          <w:szCs w:val="28"/>
        </w:rPr>
        <w:t>）中标人对本项目的投标报价，应根据市场价格以及企业自身的实力，自主报价。因投标报价估计不足或市场材料价格波动，一律由中标人自行负责，采购人不承担价差补偿。</w:t>
      </w:r>
    </w:p>
    <w:p>
      <w:pPr>
        <w:rPr>
          <w:rFonts w:hint="eastAsia" w:ascii="仿宋" w:hAnsi="仿宋" w:eastAsia="仿宋" w:cs="仿宋"/>
          <w:color w:val="auto"/>
          <w:kern w:val="2"/>
          <w:sz w:val="28"/>
          <w:szCs w:val="28"/>
          <w:highlight w:val="none"/>
          <w:lang w:val="en-US" w:eastAsia="zh-CN" w:bidi="ar-SA"/>
        </w:rPr>
      </w:pPr>
    </w:p>
    <w:p>
      <w:pPr>
        <w:rPr>
          <w:rFonts w:hint="eastAsia" w:ascii="仿宋" w:hAnsi="仿宋" w:eastAsia="仿宋" w:cs="仿宋"/>
          <w:color w:val="auto"/>
          <w:kern w:val="2"/>
          <w:sz w:val="28"/>
          <w:szCs w:val="28"/>
          <w:highlight w:val="none"/>
          <w:lang w:val="en-US" w:eastAsia="zh-CN" w:bidi="ar-SA"/>
        </w:rPr>
      </w:pPr>
    </w:p>
    <w:p>
      <w:pPr>
        <w:snapToGrid w:val="0"/>
        <w:spacing w:line="400" w:lineRule="exact"/>
        <w:rPr>
          <w:rFonts w:hint="default" w:ascii="宋体" w:hAnsi="宋体" w:eastAsia="宋体" w:cs="宋体"/>
          <w:color w:val="auto"/>
          <w:sz w:val="28"/>
          <w:szCs w:val="28"/>
          <w:highlight w:val="none"/>
          <w:lang w:val="en-US" w:eastAsia="zh-CN"/>
        </w:rPr>
      </w:pPr>
    </w:p>
    <w:p>
      <w:pPr>
        <w:pStyle w:val="10"/>
        <w:rPr>
          <w:rFonts w:hint="default" w:ascii="宋体" w:hAnsi="宋体" w:eastAsia="宋体" w:cs="宋体"/>
          <w:color w:val="auto"/>
          <w:sz w:val="28"/>
          <w:szCs w:val="28"/>
          <w:highlight w:val="none"/>
          <w:lang w:val="en-US" w:eastAsia="zh-CN"/>
        </w:rPr>
      </w:pPr>
    </w:p>
    <w:p>
      <w:pPr>
        <w:rPr>
          <w:rFonts w:hint="default" w:ascii="宋体" w:hAnsi="宋体" w:eastAsia="宋体" w:cs="宋体"/>
          <w:color w:val="auto"/>
          <w:sz w:val="28"/>
          <w:szCs w:val="28"/>
          <w:highlight w:val="none"/>
          <w:lang w:val="en-US" w:eastAsia="zh-CN"/>
        </w:rPr>
      </w:pPr>
    </w:p>
    <w:p>
      <w:pPr>
        <w:pStyle w:val="10"/>
        <w:rPr>
          <w:rFonts w:hint="default" w:ascii="宋体" w:hAnsi="宋体" w:eastAsia="宋体" w:cs="宋体"/>
          <w:color w:val="auto"/>
          <w:sz w:val="28"/>
          <w:szCs w:val="28"/>
          <w:highlight w:val="none"/>
          <w:lang w:val="en-US" w:eastAsia="zh-CN"/>
        </w:rPr>
      </w:pPr>
    </w:p>
    <w:p>
      <w:pPr>
        <w:rPr>
          <w:rFonts w:hint="default" w:ascii="宋体" w:hAnsi="宋体" w:eastAsia="宋体" w:cs="宋体"/>
          <w:color w:val="auto"/>
          <w:sz w:val="28"/>
          <w:szCs w:val="28"/>
          <w:highlight w:val="none"/>
          <w:lang w:val="en-US" w:eastAsia="zh-CN"/>
        </w:rPr>
      </w:pPr>
    </w:p>
    <w:p>
      <w:pPr>
        <w:pStyle w:val="10"/>
        <w:rPr>
          <w:rFonts w:hint="default" w:ascii="宋体" w:hAnsi="宋体" w:eastAsia="宋体" w:cs="宋体"/>
          <w:color w:val="auto"/>
          <w:sz w:val="28"/>
          <w:szCs w:val="28"/>
          <w:highlight w:val="none"/>
          <w:lang w:val="en-US" w:eastAsia="zh-CN"/>
        </w:rPr>
      </w:pPr>
    </w:p>
    <w:p>
      <w:pPr>
        <w:rPr>
          <w:rFonts w:hint="default" w:ascii="宋体" w:hAnsi="宋体" w:eastAsia="宋体" w:cs="宋体"/>
          <w:color w:val="auto"/>
          <w:sz w:val="28"/>
          <w:szCs w:val="28"/>
          <w:highlight w:val="none"/>
          <w:lang w:val="en-US" w:eastAsia="zh-CN"/>
        </w:rPr>
      </w:pPr>
    </w:p>
    <w:p>
      <w:pPr>
        <w:rPr>
          <w:rFonts w:hint="default" w:ascii="宋体" w:hAnsi="宋体" w:eastAsia="宋体" w:cs="宋体"/>
          <w:color w:val="auto"/>
          <w:sz w:val="28"/>
          <w:szCs w:val="28"/>
          <w:highlight w:val="none"/>
          <w:lang w:val="en-US" w:eastAsia="zh-CN"/>
        </w:rPr>
      </w:pPr>
    </w:p>
    <w:p>
      <w:pPr>
        <w:pStyle w:val="10"/>
        <w:rPr>
          <w:rFonts w:hint="default"/>
          <w:lang w:val="en-US" w:eastAsia="zh-CN"/>
        </w:rPr>
      </w:pPr>
    </w:p>
    <w:p>
      <w:pPr>
        <w:pStyle w:val="3"/>
        <w:bidi w:val="0"/>
        <w:jc w:val="center"/>
        <w:rPr>
          <w:rFonts w:hint="eastAsia"/>
          <w:color w:val="auto"/>
          <w:highlight w:val="none"/>
        </w:rPr>
      </w:pPr>
      <w:bookmarkStart w:id="155" w:name="_Toc3330"/>
      <w:bookmarkStart w:id="156" w:name="_Toc25766"/>
      <w:bookmarkStart w:id="157" w:name="_Toc9289"/>
      <w:r>
        <w:rPr>
          <w:rFonts w:hint="eastAsia"/>
          <w:color w:val="auto"/>
          <w:highlight w:val="none"/>
        </w:rPr>
        <w:t>第四篇  采购程序、评定成交的标准、无效报价及采购终止</w:t>
      </w:r>
      <w:bookmarkEnd w:id="133"/>
      <w:bookmarkEnd w:id="134"/>
      <w:bookmarkEnd w:id="135"/>
      <w:bookmarkEnd w:id="136"/>
      <w:bookmarkEnd w:id="137"/>
      <w:bookmarkEnd w:id="155"/>
      <w:bookmarkEnd w:id="156"/>
      <w:bookmarkEnd w:id="157"/>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158" w:name="_Toc1751"/>
      <w:bookmarkStart w:id="159" w:name="_Toc27932"/>
      <w:bookmarkStart w:id="160" w:name="_Toc64732012"/>
      <w:bookmarkStart w:id="161" w:name="_Toc22795"/>
      <w:bookmarkStart w:id="162" w:name="_Toc106034790"/>
      <w:bookmarkStart w:id="163" w:name="_Toc65660350"/>
      <w:bookmarkStart w:id="164" w:name="_Toc10273"/>
      <w:bookmarkStart w:id="165" w:name="_Toc5167"/>
      <w:bookmarkStart w:id="166" w:name="_Toc9361"/>
      <w:r>
        <w:rPr>
          <w:rFonts w:hint="eastAsia"/>
          <w:b/>
          <w:bCs/>
          <w:color w:val="auto"/>
          <w:sz w:val="28"/>
          <w:szCs w:val="28"/>
          <w:highlight w:val="none"/>
          <w:lang w:val="en-US" w:eastAsia="zh-CN"/>
        </w:rPr>
        <w:t>一、采购程序</w:t>
      </w:r>
      <w:bookmarkEnd w:id="158"/>
      <w:bookmarkEnd w:id="159"/>
      <w:bookmarkEnd w:id="160"/>
      <w:bookmarkEnd w:id="161"/>
      <w:bookmarkEnd w:id="162"/>
      <w:bookmarkEnd w:id="163"/>
      <w:bookmarkEnd w:id="164"/>
      <w:bookmarkEnd w:id="165"/>
      <w:bookmarkEnd w:id="166"/>
    </w:p>
    <w:p>
      <w:pPr>
        <w:pStyle w:val="18"/>
        <w:spacing w:line="400" w:lineRule="exact"/>
        <w:outlineLvl w:val="1"/>
        <w:rPr>
          <w:rFonts w:hint="eastAsia" w:ascii="仿宋" w:hAnsi="仿宋" w:eastAsia="仿宋" w:cs="仿宋"/>
          <w:color w:val="auto"/>
          <w:sz w:val="28"/>
          <w:szCs w:val="28"/>
          <w:highlight w:val="none"/>
        </w:rPr>
      </w:pPr>
      <w:bookmarkStart w:id="167" w:name="_Toc14454"/>
      <w:bookmarkStart w:id="168" w:name="_Toc252"/>
      <w:bookmarkStart w:id="169" w:name="_Toc24679"/>
      <w:r>
        <w:rPr>
          <w:rFonts w:hint="eastAsia" w:ascii="仿宋" w:hAnsi="仿宋" w:eastAsia="仿宋" w:cs="仿宋"/>
          <w:color w:val="auto"/>
          <w:sz w:val="28"/>
          <w:szCs w:val="28"/>
          <w:highlight w:val="none"/>
        </w:rPr>
        <w:t>（一）按询比通知书规定的时间和地点进行。</w:t>
      </w:r>
      <w:bookmarkEnd w:id="167"/>
      <w:bookmarkEnd w:id="168"/>
      <w:bookmarkEnd w:id="169"/>
    </w:p>
    <w:p>
      <w:pPr>
        <w:pStyle w:val="18"/>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（二）由本项目评审小组对各投标人的资格条件、实质性响应等进行审查， 并按本项目评分标准进行评分。</w:t>
      </w:r>
    </w:p>
    <w:p>
      <w:pPr>
        <w:snapToGrid w:val="0"/>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1.资格性审查。依据法律法规和询</w:t>
      </w:r>
      <w:r>
        <w:rPr>
          <w:rFonts w:hint="eastAsia" w:ascii="仿宋" w:hAnsi="仿宋" w:eastAsia="仿宋" w:cs="仿宋"/>
          <w:color w:val="auto"/>
          <w:sz w:val="28"/>
          <w:szCs w:val="28"/>
          <w:highlight w:val="none"/>
          <w:lang w:eastAsia="zh-CN"/>
        </w:rPr>
        <w:t>比</w:t>
      </w:r>
      <w:r>
        <w:rPr>
          <w:rFonts w:hint="eastAsia" w:ascii="仿宋" w:hAnsi="仿宋" w:eastAsia="仿宋" w:cs="仿宋"/>
          <w:color w:val="auto"/>
          <w:sz w:val="28"/>
          <w:szCs w:val="28"/>
          <w:highlight w:val="none"/>
        </w:rPr>
        <w:t>通知书的规定，对响应文件中的资格证明材料、保证金等进行审查。资格性审查内容如下：</w:t>
      </w: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709" w:type="dxa"/>
            <w:vMerge w:val="restart"/>
            <w:vAlign w:val="center"/>
          </w:tcPr>
          <w:p>
            <w:pP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2835"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5267"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1.投标人法人营业执照（副本）或事业单位法人证书（副本）或个体工商户营业执照或有效的自然人身份证明或社会团体法人登记证书（提供复印件）。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hint="eastAsia" w:ascii="仿宋" w:hAnsi="仿宋" w:eastAsia="仿宋" w:cs="仿宋"/>
                <w:color w:val="auto"/>
                <w:sz w:val="24"/>
                <w:szCs w:val="24"/>
                <w:highlight w:val="none"/>
              </w:rPr>
            </w:pPr>
          </w:p>
        </w:tc>
        <w:tc>
          <w:tcPr>
            <w:tcW w:w="709" w:type="dxa"/>
            <w:vMerge w:val="continue"/>
            <w:vAlign w:val="center"/>
          </w:tcPr>
          <w:p>
            <w:pPr>
              <w:rPr>
                <w:rFonts w:hint="eastAsia" w:ascii="仿宋" w:hAnsi="仿宋" w:eastAsia="仿宋" w:cs="仿宋"/>
                <w:color w:val="auto"/>
                <w:sz w:val="24"/>
                <w:szCs w:val="24"/>
                <w:highlight w:val="none"/>
                <w:lang w:val="zh-CN"/>
              </w:rPr>
            </w:pPr>
          </w:p>
        </w:tc>
        <w:tc>
          <w:tcPr>
            <w:tcW w:w="2835"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5267" w:type="dxa"/>
            <w:vMerge w:val="restart"/>
            <w:vAlign w:val="center"/>
          </w:tcPr>
          <w:p>
            <w:pP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投标人提供“基本资格条件承诺函”（格式详见第</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hint="eastAsia" w:ascii="仿宋" w:hAnsi="仿宋" w:eastAsia="仿宋" w:cs="仿宋"/>
                <w:color w:val="auto"/>
                <w:sz w:val="24"/>
                <w:szCs w:val="24"/>
                <w:highlight w:val="none"/>
              </w:rPr>
            </w:pPr>
          </w:p>
        </w:tc>
        <w:tc>
          <w:tcPr>
            <w:tcW w:w="709" w:type="dxa"/>
            <w:vMerge w:val="continue"/>
            <w:vAlign w:val="center"/>
          </w:tcPr>
          <w:p>
            <w:pPr>
              <w:rPr>
                <w:rFonts w:hint="eastAsia" w:ascii="仿宋" w:hAnsi="仿宋" w:eastAsia="仿宋" w:cs="仿宋"/>
                <w:color w:val="auto"/>
                <w:sz w:val="24"/>
                <w:szCs w:val="24"/>
                <w:highlight w:val="none"/>
                <w:lang w:val="zh-CN"/>
              </w:rPr>
            </w:pPr>
          </w:p>
        </w:tc>
        <w:tc>
          <w:tcPr>
            <w:tcW w:w="2835" w:type="dxa"/>
            <w:vAlign w:val="center"/>
          </w:tcPr>
          <w:p>
            <w:pP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5267" w:type="dxa"/>
            <w:vMerge w:val="continue"/>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hint="eastAsia" w:ascii="仿宋" w:hAnsi="仿宋" w:eastAsia="仿宋" w:cs="仿宋"/>
                <w:color w:val="auto"/>
                <w:sz w:val="24"/>
                <w:szCs w:val="24"/>
                <w:highlight w:val="none"/>
              </w:rPr>
            </w:pPr>
          </w:p>
        </w:tc>
        <w:tc>
          <w:tcPr>
            <w:tcW w:w="709" w:type="dxa"/>
            <w:vMerge w:val="continue"/>
            <w:vAlign w:val="center"/>
          </w:tcPr>
          <w:p>
            <w:pPr>
              <w:rPr>
                <w:rFonts w:hint="eastAsia" w:ascii="仿宋" w:hAnsi="仿宋" w:eastAsia="仿宋" w:cs="仿宋"/>
                <w:color w:val="auto"/>
                <w:sz w:val="24"/>
                <w:szCs w:val="24"/>
                <w:highlight w:val="none"/>
                <w:lang w:val="zh-CN"/>
              </w:rPr>
            </w:pPr>
          </w:p>
        </w:tc>
        <w:tc>
          <w:tcPr>
            <w:tcW w:w="2835" w:type="dxa"/>
            <w:vAlign w:val="center"/>
          </w:tcPr>
          <w:p>
            <w:pP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5267" w:type="dxa"/>
            <w:vMerge w:val="continue"/>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hint="eastAsia" w:ascii="仿宋" w:hAnsi="仿宋" w:eastAsia="仿宋" w:cs="仿宋"/>
                <w:color w:val="auto"/>
                <w:sz w:val="24"/>
                <w:szCs w:val="24"/>
                <w:highlight w:val="none"/>
              </w:rPr>
            </w:pPr>
          </w:p>
        </w:tc>
        <w:tc>
          <w:tcPr>
            <w:tcW w:w="709" w:type="dxa"/>
            <w:vMerge w:val="continue"/>
            <w:vAlign w:val="center"/>
          </w:tcPr>
          <w:p>
            <w:pPr>
              <w:rPr>
                <w:rFonts w:hint="eastAsia" w:ascii="仿宋" w:hAnsi="仿宋" w:eastAsia="仿宋" w:cs="仿宋"/>
                <w:color w:val="auto"/>
                <w:sz w:val="24"/>
                <w:szCs w:val="24"/>
                <w:highlight w:val="none"/>
                <w:lang w:val="zh-CN"/>
              </w:rPr>
            </w:pPr>
          </w:p>
        </w:tc>
        <w:tc>
          <w:tcPr>
            <w:tcW w:w="2835" w:type="dxa"/>
            <w:vAlign w:val="center"/>
          </w:tcPr>
          <w:p>
            <w:pP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w:t>
            </w:r>
          </w:p>
        </w:tc>
        <w:tc>
          <w:tcPr>
            <w:tcW w:w="5267" w:type="dxa"/>
            <w:vMerge w:val="continue"/>
            <w:vAlign w:val="center"/>
          </w:tcPr>
          <w:p>
            <w:pPr>
              <w:rPr>
                <w:rFonts w:hint="eastAsia"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仿宋" w:hAnsi="仿宋" w:eastAsia="仿宋" w:cs="仿宋"/>
                <w:color w:val="auto"/>
                <w:sz w:val="24"/>
                <w:szCs w:val="24"/>
                <w:highlight w:val="none"/>
              </w:rPr>
            </w:pPr>
          </w:p>
        </w:tc>
        <w:tc>
          <w:tcPr>
            <w:tcW w:w="709" w:type="dxa"/>
            <w:vMerge w:val="continue"/>
            <w:vAlign w:val="center"/>
          </w:tcPr>
          <w:p>
            <w:pPr>
              <w:rPr>
                <w:rFonts w:hint="eastAsia" w:ascii="仿宋" w:hAnsi="仿宋" w:eastAsia="仿宋" w:cs="仿宋"/>
                <w:color w:val="auto"/>
                <w:sz w:val="24"/>
                <w:szCs w:val="24"/>
                <w:highlight w:val="none"/>
              </w:rPr>
            </w:pPr>
          </w:p>
        </w:tc>
        <w:tc>
          <w:tcPr>
            <w:tcW w:w="2835"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5267" w:type="dxa"/>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仿宋" w:hAnsi="仿宋" w:eastAsia="仿宋" w:cs="仿宋"/>
                <w:color w:val="auto"/>
                <w:sz w:val="24"/>
                <w:szCs w:val="24"/>
                <w:highlight w:val="none"/>
              </w:rPr>
            </w:pPr>
          </w:p>
        </w:tc>
        <w:tc>
          <w:tcPr>
            <w:tcW w:w="709" w:type="dxa"/>
            <w:vMerge w:val="continue"/>
            <w:vAlign w:val="center"/>
          </w:tcPr>
          <w:p>
            <w:pPr>
              <w:rPr>
                <w:rFonts w:hint="eastAsia" w:ascii="仿宋" w:hAnsi="仿宋" w:eastAsia="仿宋" w:cs="仿宋"/>
                <w:color w:val="auto"/>
                <w:sz w:val="24"/>
                <w:szCs w:val="24"/>
                <w:highlight w:val="none"/>
              </w:rPr>
            </w:pPr>
          </w:p>
        </w:tc>
        <w:tc>
          <w:tcPr>
            <w:tcW w:w="2835"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7.本项目的特定资格要求</w:t>
            </w:r>
          </w:p>
        </w:tc>
        <w:tc>
          <w:tcPr>
            <w:tcW w:w="5267"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按“第一篇三、投标人资格要求（三）本项目的特定资格要求”的要求提交（如果有）。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w:t>
            </w:r>
          </w:p>
        </w:tc>
        <w:tc>
          <w:tcPr>
            <w:tcW w:w="3544" w:type="dxa"/>
            <w:gridSpan w:val="2"/>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5267" w:type="dxa"/>
            <w:vAlign w:val="top"/>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第一篇“第三投标人资格条件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九</w:t>
            </w:r>
            <w:r>
              <w:rPr>
                <w:rFonts w:hint="eastAsia" w:ascii="仿宋" w:hAnsi="仿宋" w:eastAsia="仿宋" w:cs="仿宋"/>
                <w:color w:val="auto"/>
                <w:sz w:val="24"/>
                <w:szCs w:val="24"/>
              </w:rPr>
              <w:t>）特定资格条件</w:t>
            </w:r>
            <w:r>
              <w:rPr>
                <w:rFonts w:hint="eastAsia" w:ascii="仿宋" w:hAnsi="仿宋" w:eastAsia="仿宋" w:cs="仿宋"/>
                <w:color w:val="auto"/>
                <w:sz w:val="24"/>
                <w:szCs w:val="24"/>
                <w:lang w:eastAsia="zh-CN"/>
              </w:rPr>
              <w:t>”</w:t>
            </w:r>
          </w:p>
        </w:tc>
      </w:tr>
    </w:tbl>
    <w:p>
      <w:pPr>
        <w:snapToGrid w:val="0"/>
        <w:spacing w:line="4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w:t>
      </w:r>
    </w:p>
    <w:p>
      <w:pPr>
        <w:snapToGrid w:val="0"/>
        <w:spacing w:line="4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fldChar w:fldCharType="begin"/>
      </w:r>
      <w:r>
        <w:rPr>
          <w:rFonts w:hint="eastAsia" w:ascii="仿宋" w:hAnsi="仿宋" w:eastAsia="仿宋" w:cs="仿宋"/>
          <w:color w:val="auto"/>
          <w:kern w:val="0"/>
          <w:sz w:val="18"/>
          <w:szCs w:val="18"/>
          <w:highlight w:val="none"/>
        </w:rPr>
        <w:instrText xml:space="preserve"> eq \o\ac(</w:instrText>
      </w:r>
      <w:r>
        <w:rPr>
          <w:rFonts w:hint="eastAsia" w:ascii="仿宋" w:hAnsi="仿宋" w:eastAsia="仿宋" w:cs="仿宋"/>
          <w:color w:val="auto"/>
          <w:kern w:val="0"/>
          <w:position w:val="-3"/>
          <w:sz w:val="27"/>
          <w:szCs w:val="18"/>
          <w:highlight w:val="none"/>
        </w:rPr>
        <w:instrText xml:space="preserve">○</w:instrText>
      </w:r>
      <w:r>
        <w:rPr>
          <w:rFonts w:hint="eastAsia" w:ascii="仿宋" w:hAnsi="仿宋" w:eastAsia="仿宋" w:cs="仿宋"/>
          <w:color w:val="auto"/>
          <w:kern w:val="0"/>
          <w:position w:val="0"/>
          <w:sz w:val="18"/>
          <w:szCs w:val="18"/>
          <w:highlight w:val="none"/>
        </w:rPr>
        <w:instrText xml:space="preserve">,1)</w:instrText>
      </w:r>
      <w:r>
        <w:rPr>
          <w:rFonts w:hint="eastAsia" w:ascii="仿宋" w:hAnsi="仿宋" w:eastAsia="仿宋" w:cs="仿宋"/>
          <w:color w:val="auto"/>
          <w:kern w:val="0"/>
          <w:sz w:val="18"/>
          <w:szCs w:val="18"/>
          <w:highlight w:val="none"/>
        </w:rPr>
        <w:fldChar w:fldCharType="end"/>
      </w:r>
      <w:r>
        <w:rPr>
          <w:rFonts w:hint="eastAsia" w:ascii="仿宋" w:hAnsi="仿宋" w:eastAsia="仿宋" w:cs="仿宋"/>
          <w:color w:val="auto"/>
          <w:kern w:val="0"/>
          <w:sz w:val="18"/>
          <w:szCs w:val="18"/>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400" w:lineRule="exact"/>
        <w:ind w:firstLine="560" w:firstLineChars="200"/>
        <w:rPr>
          <w:rFonts w:hint="eastAsia" w:ascii="仿宋" w:hAnsi="仿宋" w:eastAsia="仿宋" w:cs="仿宋"/>
          <w:color w:val="auto"/>
          <w:sz w:val="28"/>
          <w:szCs w:val="28"/>
          <w:highlight w:val="none"/>
        </w:rPr>
      </w:pPr>
    </w:p>
    <w:p>
      <w:pPr>
        <w:snapToGrid w:val="0"/>
        <w:spacing w:line="4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2.实质性响应审查。评审小组应当对响应文件进行评审，并根据询比通知书规定的采购程序、评定成交的标准等事项与实质性响应询比通知书要求的投标人进行评审。未实质性响应询比通知书的响应文件按无效处理，实质性响应审查内容如下：</w:t>
      </w: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序号</w:t>
            </w:r>
          </w:p>
        </w:tc>
        <w:tc>
          <w:tcPr>
            <w:tcW w:w="2694" w:type="dxa"/>
            <w:vAlign w:val="center"/>
          </w:tcPr>
          <w:p>
            <w:pPr>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审查因素</w:t>
            </w:r>
          </w:p>
        </w:tc>
        <w:tc>
          <w:tcPr>
            <w:tcW w:w="6259" w:type="dxa"/>
            <w:vAlign w:val="center"/>
          </w:tcPr>
          <w:p>
            <w:pPr>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2694" w:type="dxa"/>
            <w:vAlign w:val="center"/>
          </w:tcPr>
          <w:p>
            <w:pP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响应文件签署或盖章</w:t>
            </w:r>
          </w:p>
        </w:tc>
        <w:tc>
          <w:tcPr>
            <w:tcW w:w="6259" w:type="dxa"/>
            <w:vAlign w:val="center"/>
          </w:tcPr>
          <w:p>
            <w:pP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按“第六篇响应文件格式要求”要求签署或盖章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仿宋" w:hAnsi="仿宋" w:eastAsia="仿宋" w:cs="仿宋"/>
                <w:color w:val="auto"/>
                <w:kern w:val="0"/>
                <w:sz w:val="28"/>
                <w:szCs w:val="28"/>
                <w:highlight w:val="none"/>
              </w:rPr>
            </w:pPr>
          </w:p>
        </w:tc>
        <w:tc>
          <w:tcPr>
            <w:tcW w:w="2694" w:type="dxa"/>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法定代表人身份证明及授权委托书</w:t>
            </w:r>
          </w:p>
        </w:tc>
        <w:tc>
          <w:tcPr>
            <w:tcW w:w="6259" w:type="dxa"/>
            <w:vAlign w:val="center"/>
          </w:tcPr>
          <w:p>
            <w:pP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法定代表人身份证明及授权委托书有效，符合询比通知书规定的格式，签署或盖章齐全。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仿宋" w:hAnsi="仿宋" w:eastAsia="仿宋" w:cs="仿宋"/>
                <w:color w:val="auto"/>
                <w:kern w:val="0"/>
                <w:sz w:val="28"/>
                <w:szCs w:val="28"/>
                <w:highlight w:val="none"/>
              </w:rPr>
            </w:pPr>
          </w:p>
        </w:tc>
        <w:tc>
          <w:tcPr>
            <w:tcW w:w="2694" w:type="dxa"/>
            <w:vAlign w:val="center"/>
          </w:tcPr>
          <w:p>
            <w:pP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CN"/>
              </w:rPr>
              <w:t>方案</w:t>
            </w:r>
          </w:p>
        </w:tc>
        <w:tc>
          <w:tcPr>
            <w:tcW w:w="6259" w:type="dxa"/>
            <w:vAlign w:val="center"/>
          </w:tcPr>
          <w:p>
            <w:pP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val="zh-CN"/>
              </w:rPr>
              <w:t>只能有一个</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Merge w:val="continue"/>
            <w:vAlign w:val="center"/>
          </w:tcPr>
          <w:p>
            <w:pPr>
              <w:jc w:val="center"/>
              <w:rPr>
                <w:rFonts w:hint="eastAsia" w:ascii="仿宋" w:hAnsi="仿宋" w:eastAsia="仿宋" w:cs="仿宋"/>
                <w:color w:val="auto"/>
                <w:kern w:val="0"/>
                <w:sz w:val="28"/>
                <w:szCs w:val="28"/>
                <w:highlight w:val="none"/>
              </w:rPr>
            </w:pPr>
          </w:p>
        </w:tc>
        <w:tc>
          <w:tcPr>
            <w:tcW w:w="2694" w:type="dxa"/>
            <w:vAlign w:val="center"/>
          </w:tcPr>
          <w:p>
            <w:pP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报价唯一</w:t>
            </w:r>
          </w:p>
        </w:tc>
        <w:tc>
          <w:tcPr>
            <w:tcW w:w="6259" w:type="dxa"/>
            <w:vAlign w:val="center"/>
          </w:tcPr>
          <w:p>
            <w:pP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75" w:type="dxa"/>
            <w:vAlign w:val="center"/>
          </w:tcPr>
          <w:p>
            <w:pPr>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c>
          <w:tcPr>
            <w:tcW w:w="2694" w:type="dxa"/>
            <w:vAlign w:val="center"/>
          </w:tcPr>
          <w:p>
            <w:pP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响应文件</w:t>
            </w:r>
            <w:r>
              <w:rPr>
                <w:rFonts w:hint="eastAsia" w:ascii="仿宋" w:hAnsi="仿宋" w:eastAsia="仿宋" w:cs="仿宋"/>
                <w:color w:val="auto"/>
                <w:sz w:val="28"/>
                <w:szCs w:val="28"/>
                <w:highlight w:val="none"/>
                <w:lang w:val="zh-CN"/>
              </w:rPr>
              <w:t>份数</w:t>
            </w:r>
          </w:p>
        </w:tc>
        <w:tc>
          <w:tcPr>
            <w:tcW w:w="6259" w:type="dxa"/>
            <w:vAlign w:val="center"/>
          </w:tcPr>
          <w:p>
            <w:pP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响应文件</w:t>
            </w:r>
            <w:r>
              <w:rPr>
                <w:rFonts w:hint="eastAsia" w:ascii="仿宋" w:hAnsi="仿宋" w:eastAsia="仿宋" w:cs="仿宋"/>
                <w:color w:val="auto"/>
                <w:sz w:val="28"/>
                <w:szCs w:val="28"/>
                <w:highlight w:val="none"/>
                <w:lang w:val="zh-CN"/>
              </w:rPr>
              <w:t>正一份，符合</w:t>
            </w:r>
            <w:r>
              <w:rPr>
                <w:rFonts w:hint="eastAsia" w:ascii="仿宋" w:hAnsi="仿宋" w:eastAsia="仿宋" w:cs="仿宋"/>
                <w:color w:val="auto"/>
                <w:sz w:val="28"/>
                <w:szCs w:val="28"/>
                <w:highlight w:val="none"/>
              </w:rPr>
              <w:t>询</w:t>
            </w:r>
            <w:r>
              <w:rPr>
                <w:rFonts w:hint="eastAsia" w:ascii="仿宋" w:hAnsi="仿宋" w:eastAsia="仿宋" w:cs="仿宋"/>
                <w:color w:val="auto"/>
                <w:sz w:val="28"/>
                <w:szCs w:val="28"/>
                <w:highlight w:val="none"/>
                <w:lang w:val="zh-CN"/>
              </w:rPr>
              <w:t>比通</w:t>
            </w:r>
            <w:r>
              <w:rPr>
                <w:rFonts w:hint="eastAsia" w:ascii="仿宋" w:hAnsi="仿宋" w:eastAsia="仿宋" w:cs="仿宋"/>
                <w:color w:val="auto"/>
                <w:sz w:val="28"/>
                <w:szCs w:val="28"/>
                <w:highlight w:val="none"/>
              </w:rPr>
              <w:t>知书</w:t>
            </w:r>
            <w:r>
              <w:rPr>
                <w:rFonts w:hint="eastAsia" w:ascii="仿宋" w:hAnsi="仿宋" w:eastAsia="仿宋" w:cs="仿宋"/>
                <w:color w:val="auto"/>
                <w:sz w:val="28"/>
                <w:szCs w:val="28"/>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c>
          <w:tcPr>
            <w:tcW w:w="2694" w:type="dxa"/>
            <w:vAlign w:val="center"/>
          </w:tcPr>
          <w:p>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响应文件内容</w:t>
            </w:r>
          </w:p>
        </w:tc>
        <w:tc>
          <w:tcPr>
            <w:tcW w:w="6259" w:type="dxa"/>
            <w:vAlign w:val="center"/>
          </w:tcPr>
          <w:p>
            <w:pPr>
              <w:pStyle w:val="1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对询比通知书第二篇、第三篇规定的询比内容进行实质性响应。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5" w:type="dxa"/>
            <w:vMerge w:val="continue"/>
            <w:vAlign w:val="center"/>
          </w:tcPr>
          <w:p>
            <w:pPr>
              <w:jc w:val="center"/>
              <w:rPr>
                <w:rFonts w:hint="eastAsia" w:ascii="仿宋" w:hAnsi="仿宋" w:eastAsia="仿宋" w:cs="仿宋"/>
                <w:color w:val="auto"/>
                <w:kern w:val="0"/>
                <w:sz w:val="28"/>
                <w:szCs w:val="28"/>
                <w:highlight w:val="none"/>
              </w:rPr>
            </w:pPr>
          </w:p>
        </w:tc>
        <w:tc>
          <w:tcPr>
            <w:tcW w:w="2694" w:type="dxa"/>
            <w:vAlign w:val="center"/>
          </w:tcPr>
          <w:p>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询比有效期</w:t>
            </w:r>
          </w:p>
        </w:tc>
        <w:tc>
          <w:tcPr>
            <w:tcW w:w="6259" w:type="dxa"/>
            <w:vAlign w:val="center"/>
          </w:tcPr>
          <w:p>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响应文件及有关承诺文件有效期为提交响应文件截止时间起90天。</w:t>
            </w:r>
          </w:p>
        </w:tc>
      </w:tr>
    </w:tbl>
    <w:p>
      <w:pPr>
        <w:pStyle w:val="18"/>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评审小组在对响应文件的有效性、完整性和响应程度进行审查时，</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可以要求投标人对响应文件中含义不明确、同类问题表述不一致或者有明显文字和计算错误的内容等作出必要的澄清、说明或者更正。投标人的澄清、说明或者更正不得超出响应文件的范围或者改变响应文件的实质性内容。投标人的澄清、说明或者更正应当由法定代表人（或其授权代表）或自然人（投标人为自然人）签署或者加盖公章。由授权代表签署的，应当附法定代表人授权书。投标人为自然人的，应当由本人签署并附身份证明。</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15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（四）评审的依据为询比通知书和响应文件（含有效的补充文件）。评审小组判断响应文件对询比通知书的响应，仅基于响应文件本身而不靠外部证据。</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170" w:name="_Toc7599"/>
      <w:bookmarkStart w:id="171" w:name="_Toc65660351"/>
      <w:bookmarkStart w:id="172" w:name="_Toc17525"/>
      <w:bookmarkStart w:id="173" w:name="_Toc30639"/>
      <w:bookmarkStart w:id="174" w:name="_Toc5149"/>
      <w:bookmarkStart w:id="175" w:name="_Toc11713"/>
      <w:bookmarkStart w:id="176" w:name="_Toc32604"/>
      <w:bookmarkStart w:id="177" w:name="_Toc64732013"/>
      <w:bookmarkStart w:id="178" w:name="_Toc106034791"/>
      <w:r>
        <w:rPr>
          <w:rFonts w:hint="eastAsia"/>
          <w:b/>
          <w:bCs/>
          <w:color w:val="auto"/>
          <w:sz w:val="28"/>
          <w:szCs w:val="28"/>
          <w:highlight w:val="none"/>
          <w:lang w:val="en-US" w:eastAsia="zh-CN"/>
        </w:rPr>
        <w:t>二、评定成交的标准</w:t>
      </w:r>
      <w:bookmarkEnd w:id="170"/>
      <w:bookmarkEnd w:id="171"/>
      <w:bookmarkEnd w:id="172"/>
      <w:bookmarkEnd w:id="173"/>
      <w:bookmarkEnd w:id="174"/>
      <w:bookmarkEnd w:id="175"/>
      <w:bookmarkEnd w:id="176"/>
      <w:bookmarkEnd w:id="177"/>
      <w:bookmarkEnd w:id="178"/>
    </w:p>
    <w:p>
      <w:pPr>
        <w:snapToGrid w:val="0"/>
        <w:spacing w:line="520" w:lineRule="exact"/>
        <w:ind w:firstLine="560" w:firstLineChars="200"/>
        <w:rPr>
          <w:rFonts w:hint="eastAsia" w:ascii="仿宋" w:hAnsi="仿宋" w:eastAsia="仿宋" w:cs="仿宋"/>
          <w:color w:val="auto"/>
          <w:sz w:val="28"/>
          <w:szCs w:val="28"/>
          <w:highlight w:val="none"/>
          <w:lang w:val="en-US" w:eastAsia="zh-CN"/>
        </w:rPr>
      </w:pPr>
      <w:bookmarkStart w:id="179" w:name="_Toc106034792"/>
      <w:bookmarkStart w:id="180" w:name="_Toc65660352"/>
      <w:bookmarkStart w:id="181" w:name="_Toc29113"/>
      <w:bookmarkStart w:id="182" w:name="_Toc12644"/>
      <w:bookmarkStart w:id="183" w:name="_Toc19473"/>
      <w:r>
        <w:rPr>
          <w:rFonts w:hint="eastAsia" w:ascii="仿宋" w:hAnsi="仿宋" w:eastAsia="仿宋" w:cs="仿宋"/>
          <w:color w:val="auto"/>
          <w:sz w:val="28"/>
          <w:szCs w:val="28"/>
          <w:highlight w:val="none"/>
          <w:lang w:val="en-US" w:eastAsia="zh-CN"/>
        </w:rPr>
        <w:t>评审小组从已通过资格性审查，并且响应文件中技术（质量）和服务均能满足本项目实质性要求的投标人中，满足3名以上成交候选人。其中，报价最低的1家投标人为中标人。</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r>
        <w:rPr>
          <w:rFonts w:hint="eastAsia"/>
          <w:b/>
          <w:bCs/>
          <w:color w:val="auto"/>
          <w:sz w:val="28"/>
          <w:szCs w:val="28"/>
          <w:highlight w:val="none"/>
          <w:lang w:val="en-US" w:eastAsia="zh-CN"/>
        </w:rPr>
        <w:t>三、评选方法</w:t>
      </w:r>
    </w:p>
    <w:p>
      <w:pPr>
        <w:ind w:firstLine="560" w:firstLineChars="200"/>
        <w:jc w:val="left"/>
        <w:rPr>
          <w:rFonts w:hint="eastAsia"/>
          <w:color w:val="auto"/>
          <w:highlight w:val="none"/>
        </w:rPr>
      </w:pPr>
      <w:r>
        <w:rPr>
          <w:rFonts w:hint="eastAsia" w:ascii="仿宋" w:hAnsi="仿宋" w:eastAsia="仿宋" w:cs="仿宋"/>
          <w:color w:val="auto"/>
          <w:sz w:val="28"/>
          <w:szCs w:val="28"/>
          <w:highlight w:val="none"/>
          <w:lang w:val="en-US" w:eastAsia="zh-CN"/>
        </w:rPr>
        <w:t xml:space="preserve">评选方法：最低价中标。    </w:t>
      </w: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bookmarkEnd w:id="179"/>
      <w:bookmarkEnd w:id="180"/>
      <w:bookmarkEnd w:id="181"/>
      <w:bookmarkEnd w:id="182"/>
      <w:bookmarkEnd w:id="183"/>
      <w:bookmarkStart w:id="184" w:name="_Toc25356"/>
      <w:bookmarkStart w:id="185" w:name="_Toc9762"/>
      <w:bookmarkStart w:id="186" w:name="_Toc20270"/>
    </w:p>
    <w:p>
      <w:pPr>
        <w:rPr>
          <w:rFonts w:hint="eastAsia"/>
          <w:b/>
          <w:bCs/>
          <w:color w:val="auto"/>
          <w:sz w:val="28"/>
          <w:szCs w:val="28"/>
          <w:highlight w:val="none"/>
          <w:lang w:val="en-US" w:eastAsia="zh-CN"/>
        </w:rPr>
      </w:pPr>
      <w:r>
        <w:rPr>
          <w:rFonts w:hint="eastAsia"/>
          <w:b/>
          <w:bCs/>
          <w:color w:val="auto"/>
          <w:sz w:val="28"/>
          <w:szCs w:val="28"/>
          <w:highlight w:val="none"/>
          <w:lang w:val="en-US" w:eastAsia="zh-CN"/>
        </w:rPr>
        <w:t>四、无效报价</w:t>
      </w:r>
      <w:bookmarkEnd w:id="184"/>
      <w:bookmarkEnd w:id="185"/>
      <w:bookmarkEnd w:id="186"/>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发生以下条款情况之一者，视为无效报价：</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color w:val="auto"/>
          <w:kern w:val="2"/>
          <w:sz w:val="28"/>
          <w:szCs w:val="28"/>
          <w:highlight w:val="none"/>
          <w:lang w:val="en-US" w:eastAsia="zh-CN" w:bidi="ar-SA"/>
        </w:rPr>
        <w:t>投标人</w:t>
      </w:r>
      <w:r>
        <w:rPr>
          <w:rFonts w:hint="eastAsia" w:ascii="仿宋" w:hAnsi="仿宋" w:eastAsia="仿宋" w:cs="仿宋"/>
          <w:color w:val="auto"/>
          <w:sz w:val="28"/>
          <w:szCs w:val="28"/>
          <w:highlight w:val="none"/>
        </w:rPr>
        <w:t>不符合规定的资格条件的；</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kern w:val="2"/>
          <w:sz w:val="28"/>
          <w:szCs w:val="28"/>
          <w:highlight w:val="none"/>
          <w:lang w:val="en-US" w:eastAsia="zh-CN" w:bidi="ar-SA"/>
        </w:rPr>
        <w:t>投标人</w:t>
      </w:r>
      <w:r>
        <w:rPr>
          <w:rFonts w:hint="eastAsia" w:ascii="仿宋" w:hAnsi="仿宋" w:eastAsia="仿宋" w:cs="仿宋"/>
          <w:color w:val="auto"/>
          <w:sz w:val="28"/>
          <w:szCs w:val="28"/>
          <w:highlight w:val="none"/>
        </w:rPr>
        <w:t>未通过实质性响应审查的；</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r>
        <w:rPr>
          <w:rFonts w:hint="eastAsia" w:ascii="仿宋" w:hAnsi="仿宋" w:eastAsia="仿宋" w:cs="仿宋"/>
          <w:color w:val="auto"/>
          <w:kern w:val="2"/>
          <w:sz w:val="28"/>
          <w:szCs w:val="28"/>
          <w:highlight w:val="none"/>
          <w:lang w:val="en-US" w:eastAsia="zh-CN" w:bidi="ar-SA"/>
        </w:rPr>
        <w:t>投标人</w:t>
      </w:r>
      <w:r>
        <w:rPr>
          <w:rFonts w:hint="eastAsia" w:ascii="仿宋" w:hAnsi="仿宋" w:eastAsia="仿宋" w:cs="仿宋"/>
          <w:color w:val="auto"/>
          <w:sz w:val="28"/>
          <w:szCs w:val="28"/>
          <w:highlight w:val="none"/>
        </w:rPr>
        <w:t>所提交的响应文件未按要求</w:t>
      </w:r>
      <w:r>
        <w:rPr>
          <w:rFonts w:hint="eastAsia" w:ascii="仿宋" w:hAnsi="仿宋" w:eastAsia="仿宋" w:cs="仿宋"/>
          <w:color w:val="auto"/>
          <w:sz w:val="28"/>
          <w:szCs w:val="28"/>
          <w:highlight w:val="none"/>
          <w:lang w:eastAsia="zh-CN"/>
        </w:rPr>
        <w:t>每页</w:t>
      </w:r>
      <w:r>
        <w:rPr>
          <w:rFonts w:hint="eastAsia" w:ascii="仿宋" w:hAnsi="仿宋" w:eastAsia="仿宋" w:cs="仿宋"/>
          <w:color w:val="auto"/>
          <w:sz w:val="28"/>
          <w:szCs w:val="28"/>
          <w:highlight w:val="none"/>
        </w:rPr>
        <w:t>签</w:t>
      </w:r>
      <w:r>
        <w:rPr>
          <w:rFonts w:hint="eastAsia" w:ascii="仿宋" w:hAnsi="仿宋" w:eastAsia="仿宋" w:cs="仿宋"/>
          <w:color w:val="auto"/>
          <w:sz w:val="28"/>
          <w:szCs w:val="28"/>
          <w:highlight w:val="none"/>
          <w:lang w:eastAsia="zh-CN"/>
        </w:rPr>
        <w:t>字</w:t>
      </w:r>
      <w:r>
        <w:rPr>
          <w:rFonts w:hint="eastAsia" w:ascii="仿宋" w:hAnsi="仿宋" w:eastAsia="仿宋" w:cs="仿宋"/>
          <w:color w:val="auto"/>
          <w:sz w:val="28"/>
          <w:szCs w:val="28"/>
          <w:highlight w:val="none"/>
        </w:rPr>
        <w:t>或盖章的；</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r>
        <w:rPr>
          <w:rFonts w:hint="eastAsia" w:ascii="仿宋" w:hAnsi="仿宋" w:eastAsia="仿宋" w:cs="仿宋"/>
          <w:color w:val="auto"/>
          <w:kern w:val="2"/>
          <w:sz w:val="28"/>
          <w:szCs w:val="28"/>
          <w:highlight w:val="none"/>
          <w:lang w:val="en-US" w:eastAsia="zh-CN" w:bidi="ar-SA"/>
        </w:rPr>
        <w:t>投标人</w:t>
      </w:r>
      <w:r>
        <w:rPr>
          <w:rFonts w:hint="eastAsia" w:ascii="仿宋" w:hAnsi="仿宋" w:eastAsia="仿宋" w:cs="仿宋"/>
          <w:color w:val="auto"/>
          <w:sz w:val="28"/>
          <w:szCs w:val="28"/>
          <w:highlight w:val="none"/>
        </w:rPr>
        <w:t>的报价超过采购预算或最高限价的；</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不接受询价小组修正后的价格的；</w:t>
      </w:r>
    </w:p>
    <w:p>
      <w:pPr>
        <w:snapToGrid w:val="0"/>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（六）投标人</w:t>
      </w:r>
      <w:r>
        <w:rPr>
          <w:rFonts w:hint="eastAsia" w:ascii="仿宋" w:hAnsi="仿宋" w:eastAsia="仿宋" w:cs="仿宋"/>
          <w:color w:val="auto"/>
          <w:sz w:val="28"/>
          <w:szCs w:val="28"/>
          <w:highlight w:val="none"/>
        </w:rPr>
        <w:t>的响应文件不得有任一项应答低于询比采购通知书</w:t>
      </w:r>
      <w:r>
        <w:rPr>
          <w:rFonts w:hint="eastAsia" w:ascii="仿宋" w:hAnsi="仿宋" w:eastAsia="仿宋" w:cs="仿宋"/>
          <w:color w:val="auto"/>
          <w:sz w:val="28"/>
          <w:szCs w:val="28"/>
          <w:highlight w:val="none"/>
          <w:lang w:eastAsia="zh-CN"/>
        </w:rPr>
        <w:t>实质性</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响应文件内容有与国家现行法律法规相违背的内容，或附有采购人无法接受条件的；</w:t>
      </w:r>
    </w:p>
    <w:p>
      <w:pPr>
        <w:snapToGrid w:val="0"/>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（八）单位负责人为同一人或者存在直接控股、管理关系的不同投标人，不得参加同一合同项（包）下的采购活动，否则均为无效报价；</w:t>
      </w:r>
    </w:p>
    <w:p>
      <w:pPr>
        <w:snapToGrid w:val="0"/>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（九）为采购项目提供整体设计、规范编制或者项目管理、监理、检测等服务的投标人，不得再参加该采购项目的其他采购活动；</w:t>
      </w:r>
    </w:p>
    <w:p>
      <w:pPr>
        <w:snapToGrid w:val="0"/>
        <w:spacing w:line="520" w:lineRule="exact"/>
        <w:ind w:firstLine="560" w:firstLineChars="200"/>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（十）同一合同项（包）下的货物，制造商参与报价的，不得再委托代理商参与报价；</w:t>
      </w:r>
    </w:p>
    <w:p>
      <w:pPr>
        <w:snapToGrid w:val="0"/>
        <w:spacing w:line="520" w:lineRule="exact"/>
        <w:ind w:firstLine="560" w:firstLineChars="200"/>
        <w:outlineLvl w:val="1"/>
        <w:rPr>
          <w:rFonts w:hint="eastAsia" w:ascii="仿宋" w:hAnsi="仿宋" w:eastAsia="仿宋" w:cs="仿宋"/>
          <w:color w:val="auto"/>
          <w:sz w:val="28"/>
          <w:szCs w:val="28"/>
          <w:highlight w:val="none"/>
          <w:lang w:eastAsia="zh-CN"/>
        </w:rPr>
      </w:pPr>
      <w:bookmarkStart w:id="187" w:name="_Toc14057"/>
      <w:bookmarkStart w:id="188" w:name="_Toc13759"/>
      <w:bookmarkStart w:id="189" w:name="_Toc31628"/>
      <w:r>
        <w:rPr>
          <w:rFonts w:hint="eastAsia" w:ascii="仿宋" w:hAnsi="仿宋" w:eastAsia="仿宋" w:cs="仿宋"/>
          <w:color w:val="auto"/>
          <w:sz w:val="28"/>
          <w:szCs w:val="28"/>
          <w:highlight w:val="none"/>
          <w:lang w:eastAsia="zh-CN"/>
        </w:rPr>
        <w:t>（十一）法律、法规和询比通知书规定的其他无效情形</w:t>
      </w:r>
      <w:bookmarkEnd w:id="187"/>
      <w:bookmarkEnd w:id="188"/>
      <w:bookmarkEnd w:id="189"/>
      <w:bookmarkStart w:id="190" w:name="_Toc29298"/>
      <w:bookmarkStart w:id="191" w:name="_Toc28422"/>
      <w:bookmarkStart w:id="192" w:name="_Toc65660353"/>
      <w:bookmarkStart w:id="193" w:name="_Toc106034793"/>
      <w:bookmarkStart w:id="194" w:name="_Toc22716"/>
      <w:r>
        <w:rPr>
          <w:rFonts w:hint="eastAsia" w:ascii="仿宋" w:hAnsi="仿宋" w:eastAsia="仿宋" w:cs="仿宋"/>
          <w:color w:val="auto"/>
          <w:sz w:val="28"/>
          <w:szCs w:val="28"/>
          <w:highlight w:val="none"/>
          <w:lang w:eastAsia="zh-CN"/>
        </w:rPr>
        <w:t>；</w:t>
      </w:r>
    </w:p>
    <w:p>
      <w:pPr>
        <w:snapToGrid w:val="0"/>
        <w:spacing w:line="520" w:lineRule="exact"/>
        <w:ind w:firstLine="560" w:firstLineChars="200"/>
        <w:outlineLvl w:val="1"/>
        <w:rPr>
          <w:rFonts w:hint="eastAsia" w:ascii="仿宋" w:hAnsi="仿宋" w:eastAsia="仿宋" w:cs="仿宋"/>
          <w:color w:val="auto"/>
          <w:sz w:val="28"/>
          <w:szCs w:val="28"/>
          <w:lang w:val="en-US" w:eastAsia="zh-CN"/>
        </w:rPr>
      </w:pPr>
      <w:bookmarkStart w:id="195" w:name="_Toc27282"/>
      <w:bookmarkStart w:id="196" w:name="_Toc1436"/>
      <w:bookmarkStart w:id="197" w:name="_Toc13900"/>
      <w:r>
        <w:rPr>
          <w:rFonts w:hint="eastAsia" w:ascii="仿宋" w:hAnsi="仿宋" w:eastAsia="仿宋" w:cs="仿宋"/>
          <w:color w:val="auto"/>
          <w:sz w:val="28"/>
          <w:szCs w:val="28"/>
          <w:lang w:eastAsia="zh-CN"/>
        </w:rPr>
        <w:t>（十二）本项目成交后采购人有权对投标人的相关资质进行核查，如投标人弄虚作假采购人有权取消其成交资格。</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r>
        <w:rPr>
          <w:rFonts w:hint="eastAsia"/>
          <w:b/>
          <w:bCs/>
          <w:color w:val="auto"/>
          <w:sz w:val="28"/>
          <w:szCs w:val="28"/>
          <w:highlight w:val="none"/>
          <w:lang w:val="en-US" w:eastAsia="zh-CN"/>
        </w:rPr>
        <w:t>五、采购终止</w:t>
      </w:r>
      <w:bookmarkEnd w:id="190"/>
      <w:bookmarkEnd w:id="191"/>
      <w:bookmarkEnd w:id="192"/>
      <w:bookmarkEnd w:id="193"/>
      <w:bookmarkEnd w:id="194"/>
      <w:bookmarkEnd w:id="195"/>
      <w:bookmarkEnd w:id="196"/>
      <w:bookmarkEnd w:id="197"/>
    </w:p>
    <w:p>
      <w:pPr>
        <w:snapToGrid w:val="0"/>
        <w:spacing w:line="520" w:lineRule="exact"/>
        <w:ind w:firstLine="560" w:firstLineChars="200"/>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出现下列情形之一的，采购人应当终止询比采购活动，发布项目终止公告并说明原因，重新开展采购活动：</w:t>
      </w:r>
    </w:p>
    <w:p>
      <w:pPr>
        <w:snapToGrid w:val="0"/>
        <w:spacing w:line="520" w:lineRule="exact"/>
        <w:ind w:firstLine="280" w:firstLineChars="100"/>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（一）因情况变化，不再符合规定的询比采购方式适用情形的；</w:t>
      </w:r>
    </w:p>
    <w:p>
      <w:pPr>
        <w:snapToGrid w:val="0"/>
        <w:spacing w:line="520" w:lineRule="exact"/>
        <w:ind w:firstLine="280" w:firstLineChars="100"/>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（二）出现影响采购公正的违法、违规行为的；</w:t>
      </w:r>
    </w:p>
    <w:p>
      <w:pPr>
        <w:snapToGrid w:val="0"/>
        <w:spacing w:line="520" w:lineRule="exact"/>
        <w:ind w:firstLine="280" w:firstLineChars="100"/>
        <w:outlineLvl w:val="1"/>
        <w:rPr>
          <w:rFonts w:hint="eastAsia" w:ascii="仿宋" w:hAnsi="仿宋" w:eastAsia="仿宋" w:cs="仿宋"/>
          <w:b/>
          <w:bCs/>
          <w:color w:val="auto"/>
          <w:kern w:val="0"/>
          <w:sz w:val="36"/>
          <w:szCs w:val="32"/>
          <w:highlight w:val="none"/>
        </w:rPr>
      </w:pPr>
      <w:r>
        <w:rPr>
          <w:rFonts w:hint="eastAsia" w:ascii="仿宋" w:hAnsi="仿宋" w:eastAsia="仿宋" w:cs="仿宋"/>
          <w:color w:val="auto"/>
          <w:sz w:val="28"/>
          <w:szCs w:val="28"/>
          <w:highlight w:val="none"/>
          <w:lang w:eastAsia="zh-CN"/>
        </w:rPr>
        <w:t>（三）在采购过程中符合采购要求的</w:t>
      </w:r>
      <w:r>
        <w:rPr>
          <w:rFonts w:hint="eastAsia" w:ascii="仿宋" w:hAnsi="仿宋" w:eastAsia="仿宋" w:cs="仿宋"/>
          <w:color w:val="auto"/>
          <w:sz w:val="28"/>
          <w:szCs w:val="28"/>
          <w:highlight w:val="none"/>
          <w:lang w:val="en-US" w:eastAsia="zh-CN"/>
        </w:rPr>
        <w:t>投标人数量</w:t>
      </w:r>
      <w:r>
        <w:rPr>
          <w:rFonts w:hint="eastAsia" w:ascii="仿宋" w:hAnsi="仿宋" w:eastAsia="仿宋" w:cs="仿宋"/>
          <w:color w:val="auto"/>
          <w:sz w:val="28"/>
          <w:szCs w:val="28"/>
          <w:highlight w:val="none"/>
          <w:lang w:eastAsia="zh-CN"/>
        </w:rPr>
        <w:t>不足3家的。</w:t>
      </w:r>
      <w:bookmarkStart w:id="198" w:name="_Toc106034794"/>
      <w:bookmarkStart w:id="199" w:name="_Toc10768"/>
      <w:bookmarkStart w:id="200" w:name="_Toc65660354"/>
      <w:bookmarkStart w:id="201" w:name="_Toc20055"/>
      <w:bookmarkStart w:id="202" w:name="_Toc8916"/>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9"/>
        <w:ind w:left="0" w:leftChars="0" w:firstLine="0" w:firstLineChars="0"/>
        <w:jc w:val="left"/>
        <w:rPr>
          <w:rFonts w:hint="eastAsia" w:ascii="仿宋" w:hAnsi="仿宋" w:eastAsia="仿宋" w:cs="仿宋"/>
          <w:b/>
          <w:bCs/>
          <w:color w:val="auto"/>
          <w:kern w:val="0"/>
          <w:sz w:val="36"/>
          <w:szCs w:val="32"/>
          <w:highlight w:val="none"/>
        </w:rPr>
      </w:pPr>
    </w:p>
    <w:p>
      <w:pPr>
        <w:pStyle w:val="39"/>
        <w:ind w:firstLine="2891" w:firstLineChars="800"/>
        <w:jc w:val="left"/>
        <w:rPr>
          <w:rFonts w:hint="eastAsia" w:ascii="仿宋" w:hAnsi="仿宋" w:eastAsia="仿宋" w:cs="仿宋"/>
          <w:b/>
          <w:bCs/>
          <w:color w:val="auto"/>
          <w:kern w:val="0"/>
          <w:sz w:val="36"/>
          <w:szCs w:val="32"/>
          <w:highlight w:val="none"/>
        </w:rPr>
      </w:pPr>
    </w:p>
    <w:p>
      <w:pPr>
        <w:pStyle w:val="3"/>
        <w:bidi w:val="0"/>
        <w:jc w:val="center"/>
        <w:outlineLvl w:val="1"/>
        <w:rPr>
          <w:rFonts w:hint="eastAsia"/>
          <w:color w:val="auto"/>
          <w:highlight w:val="none"/>
          <w:lang w:val="en-US" w:eastAsia="zh-CN"/>
        </w:rPr>
      </w:pPr>
      <w:bookmarkStart w:id="203" w:name="_Toc26225"/>
      <w:bookmarkStart w:id="204" w:name="_Toc30870"/>
      <w:bookmarkStart w:id="205" w:name="_Toc10824"/>
      <w:r>
        <w:rPr>
          <w:rFonts w:hint="eastAsia"/>
          <w:color w:val="auto"/>
          <w:highlight w:val="none"/>
          <w:lang w:val="en-US" w:eastAsia="zh-CN"/>
        </w:rPr>
        <w:t>第五篇  投标人须知</w:t>
      </w:r>
      <w:bookmarkEnd w:id="198"/>
      <w:bookmarkEnd w:id="199"/>
      <w:bookmarkEnd w:id="200"/>
      <w:bookmarkEnd w:id="201"/>
      <w:bookmarkEnd w:id="202"/>
      <w:bookmarkEnd w:id="203"/>
      <w:bookmarkEnd w:id="204"/>
      <w:bookmarkEnd w:id="205"/>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206" w:name="_Toc5290"/>
      <w:bookmarkStart w:id="207" w:name="_Toc11542"/>
      <w:bookmarkStart w:id="208" w:name="_Toc25024"/>
      <w:bookmarkStart w:id="209" w:name="_Toc988"/>
      <w:bookmarkStart w:id="210" w:name="_Toc65660355"/>
      <w:bookmarkStart w:id="211" w:name="_Toc106034795"/>
      <w:bookmarkStart w:id="212" w:name="_Toc2864"/>
      <w:bookmarkStart w:id="213" w:name="_Toc16524"/>
      <w:r>
        <w:rPr>
          <w:rFonts w:hint="eastAsia"/>
          <w:b/>
          <w:bCs/>
          <w:color w:val="auto"/>
          <w:sz w:val="28"/>
          <w:szCs w:val="28"/>
          <w:highlight w:val="none"/>
          <w:lang w:val="en-US" w:eastAsia="zh-CN"/>
        </w:rPr>
        <w:t>一、费用</w:t>
      </w:r>
      <w:bookmarkEnd w:id="206"/>
      <w:bookmarkEnd w:id="207"/>
      <w:bookmarkEnd w:id="208"/>
      <w:bookmarkEnd w:id="209"/>
      <w:bookmarkEnd w:id="210"/>
      <w:bookmarkEnd w:id="211"/>
      <w:bookmarkEnd w:id="212"/>
      <w:bookmarkEnd w:id="213"/>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参与报价的投标人应承担其编制响应文件与递交响应文件所涉及的一切费用，不论询价结果如何，采购人在任何情况下无义务也无责任承担这些费用。</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214" w:name="_Toc65660356"/>
      <w:bookmarkStart w:id="215" w:name="_Toc11051"/>
      <w:bookmarkStart w:id="216" w:name="_Toc5915"/>
      <w:bookmarkStart w:id="217" w:name="_Toc31070"/>
      <w:bookmarkStart w:id="218" w:name="_Toc31739"/>
      <w:bookmarkStart w:id="219" w:name="_Toc889"/>
      <w:bookmarkStart w:id="220" w:name="_Toc20941"/>
      <w:bookmarkStart w:id="221" w:name="_Toc106034796"/>
      <w:r>
        <w:rPr>
          <w:rFonts w:hint="eastAsia"/>
          <w:b/>
          <w:bCs/>
          <w:color w:val="auto"/>
          <w:sz w:val="28"/>
          <w:szCs w:val="28"/>
          <w:highlight w:val="none"/>
          <w:lang w:val="en-US" w:eastAsia="zh-CN"/>
        </w:rPr>
        <w:t>二、询比通知书</w:t>
      </w:r>
      <w:bookmarkEnd w:id="214"/>
      <w:bookmarkEnd w:id="215"/>
      <w:bookmarkEnd w:id="216"/>
      <w:bookmarkEnd w:id="217"/>
      <w:bookmarkEnd w:id="218"/>
      <w:bookmarkEnd w:id="219"/>
      <w:bookmarkEnd w:id="220"/>
      <w:bookmarkEnd w:id="221"/>
      <w:r>
        <w:rPr>
          <w:rFonts w:hint="eastAsia"/>
          <w:b/>
          <w:bCs/>
          <w:color w:val="auto"/>
          <w:sz w:val="28"/>
          <w:szCs w:val="28"/>
          <w:highlight w:val="none"/>
          <w:lang w:val="en-US" w:eastAsia="zh-CN"/>
        </w:rPr>
        <w:tab/>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（一）询比通知书由询比采购邀请书、询比项目技术（质量）需求、询比项目服务需求、采购程序、评定成交的标准、无效报价及采购终止、投标人须知、响应文件格式要求六部分组成。</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（二）采购人所作的一切有效的书面通知、修改及补充，都是询比通知书不可分割的部分。</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222" w:name="_Toc9756"/>
      <w:bookmarkStart w:id="223" w:name="_Toc539"/>
      <w:bookmarkStart w:id="224" w:name="_Toc65660357"/>
      <w:bookmarkStart w:id="225" w:name="_Toc9532"/>
      <w:bookmarkStart w:id="226" w:name="_Toc1922"/>
      <w:bookmarkStart w:id="227" w:name="_Toc106034797"/>
      <w:bookmarkStart w:id="228" w:name="_Toc21141"/>
      <w:bookmarkStart w:id="229" w:name="_Toc3061"/>
      <w:r>
        <w:rPr>
          <w:rFonts w:hint="eastAsia"/>
          <w:b/>
          <w:bCs/>
          <w:color w:val="auto"/>
          <w:sz w:val="28"/>
          <w:szCs w:val="28"/>
          <w:highlight w:val="none"/>
          <w:lang w:val="en-US" w:eastAsia="zh-CN"/>
        </w:rPr>
        <w:t>三、报价要求</w:t>
      </w:r>
      <w:bookmarkEnd w:id="222"/>
      <w:bookmarkEnd w:id="223"/>
      <w:bookmarkEnd w:id="224"/>
      <w:bookmarkEnd w:id="225"/>
      <w:bookmarkEnd w:id="226"/>
      <w:bookmarkEnd w:id="227"/>
      <w:bookmarkEnd w:id="228"/>
      <w:bookmarkEnd w:id="229"/>
    </w:p>
    <w:p>
      <w:pPr>
        <w:spacing w:line="312" w:lineRule="auto"/>
        <w:ind w:firstLine="560" w:firstLineChars="200"/>
        <w:outlineLvl w:val="1"/>
        <w:rPr>
          <w:rFonts w:hint="eastAsia" w:ascii="仿宋" w:hAnsi="仿宋" w:eastAsia="仿宋" w:cs="仿宋"/>
          <w:color w:val="auto"/>
          <w:sz w:val="28"/>
          <w:szCs w:val="28"/>
          <w:highlight w:val="none"/>
        </w:rPr>
      </w:pPr>
      <w:bookmarkStart w:id="230" w:name="_Toc26178"/>
      <w:bookmarkStart w:id="231" w:name="_Toc28745"/>
      <w:bookmarkStart w:id="232" w:name="_Toc1656"/>
      <w:r>
        <w:rPr>
          <w:rFonts w:hint="eastAsia" w:ascii="仿宋" w:hAnsi="仿宋" w:eastAsia="仿宋" w:cs="仿宋"/>
          <w:color w:val="auto"/>
          <w:sz w:val="28"/>
          <w:szCs w:val="28"/>
          <w:highlight w:val="none"/>
        </w:rPr>
        <w:t>（一）响应文件</w:t>
      </w:r>
      <w:bookmarkEnd w:id="230"/>
      <w:bookmarkEnd w:id="231"/>
      <w:bookmarkEnd w:id="232"/>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投标人应当按照询比通知书的要求编制响应文件，并对询比通知书提出的要求和条件作出实质性响应，响应文件原则上采用软面订本。</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1、响应文件组成</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由“第六篇响应文件格式要求”规定的部分和投标人所作的一切有效补充、修改和承诺等文件组成，投标人应按照“第六篇响应文件格式”规定进行编写和装订，也可在基本格式基础上对表格进行扩展，未规定格式的由投标人自定格式。</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2、报价有效期：响应文件及有关承诺文件有效期为提交响应文件截止时间起90天。</w:t>
      </w:r>
    </w:p>
    <w:p>
      <w:pPr>
        <w:spacing w:line="312" w:lineRule="auto"/>
        <w:ind w:firstLine="560" w:firstLineChars="200"/>
        <w:outlineLvl w:val="1"/>
        <w:rPr>
          <w:rFonts w:hint="eastAsia" w:ascii="仿宋" w:hAnsi="仿宋" w:eastAsia="仿宋" w:cs="仿宋"/>
          <w:color w:val="auto"/>
          <w:sz w:val="28"/>
          <w:szCs w:val="28"/>
          <w:highlight w:val="none"/>
        </w:rPr>
      </w:pPr>
      <w:bookmarkStart w:id="233" w:name="_Toc12418"/>
      <w:bookmarkStart w:id="234" w:name="_Toc14168"/>
      <w:bookmarkStart w:id="235" w:name="_Toc18042"/>
      <w:r>
        <w:rPr>
          <w:rFonts w:hint="eastAsia" w:ascii="仿宋" w:hAnsi="仿宋" w:eastAsia="仿宋" w:cs="仿宋"/>
          <w:color w:val="auto"/>
          <w:sz w:val="28"/>
          <w:szCs w:val="28"/>
          <w:highlight w:val="none"/>
        </w:rPr>
        <w:t>（二）修正错误</w:t>
      </w:r>
      <w:bookmarkEnd w:id="233"/>
      <w:bookmarkEnd w:id="234"/>
      <w:bookmarkEnd w:id="235"/>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若投标人所递交的响应文件或报价中的价格出现大写金额和小写金额不一致的错误，以大写金额修正为准。</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评审小组按上述修正错误的原则及方法修正供应商的报价，投标人同意并签署确认后，修正后的报价对投标人具有约束作用。如果投标人不接受修正后的价格，将视为无效报价。</w:t>
      </w:r>
    </w:p>
    <w:p>
      <w:pPr>
        <w:spacing w:line="312" w:lineRule="auto"/>
        <w:ind w:firstLine="560" w:firstLineChars="200"/>
        <w:outlineLvl w:val="1"/>
        <w:rPr>
          <w:rFonts w:hint="eastAsia" w:ascii="仿宋" w:hAnsi="仿宋" w:eastAsia="仿宋" w:cs="仿宋"/>
          <w:color w:val="auto"/>
          <w:sz w:val="28"/>
          <w:szCs w:val="28"/>
          <w:highlight w:val="none"/>
        </w:rPr>
      </w:pPr>
      <w:bookmarkStart w:id="236" w:name="_Toc25672"/>
      <w:bookmarkStart w:id="237" w:name="_Toc14441"/>
      <w:bookmarkStart w:id="238" w:name="_Toc12895"/>
      <w:r>
        <w:rPr>
          <w:rFonts w:hint="eastAsia" w:ascii="仿宋" w:hAnsi="仿宋" w:eastAsia="仿宋" w:cs="仿宋"/>
          <w:color w:val="auto"/>
          <w:sz w:val="28"/>
          <w:szCs w:val="28"/>
          <w:highlight w:val="none"/>
        </w:rPr>
        <w:t>（三）响应文件的递交</w:t>
      </w:r>
      <w:bookmarkEnd w:id="236"/>
      <w:bookmarkEnd w:id="237"/>
      <w:bookmarkEnd w:id="238"/>
    </w:p>
    <w:p>
      <w:pPr>
        <w:spacing w:line="312" w:lineRule="auto"/>
        <w:ind w:firstLine="560" w:firstLineChars="200"/>
        <w:rPr>
          <w:rFonts w:hint="eastAsia" w:ascii="仿宋" w:hAnsi="仿宋" w:eastAsia="仿宋" w:cs="仿宋"/>
          <w:color w:val="auto"/>
          <w:sz w:val="28"/>
          <w:szCs w:val="28"/>
          <w:highlight w:val="none"/>
        </w:rPr>
      </w:pPr>
      <w:bookmarkStart w:id="239" w:name="_Toc6242"/>
      <w:bookmarkStart w:id="240" w:name="_Toc10172"/>
      <w:bookmarkStart w:id="241" w:name="_Toc65660358"/>
      <w:bookmarkStart w:id="242" w:name="_Toc14702"/>
      <w:bookmarkStart w:id="243" w:name="_Toc106034798"/>
      <w:r>
        <w:rPr>
          <w:rFonts w:hint="eastAsia" w:ascii="仿宋" w:hAnsi="仿宋" w:eastAsia="仿宋" w:cs="仿宋"/>
          <w:color w:val="auto"/>
          <w:sz w:val="28"/>
          <w:szCs w:val="28"/>
          <w:highlight w:val="none"/>
        </w:rPr>
        <w:t>1、响应投标人必须在</w:t>
      </w:r>
      <w:r>
        <w:rPr>
          <w:rFonts w:hint="eastAsia" w:ascii="仿宋" w:hAnsi="仿宋" w:eastAsia="仿宋" w:cs="仿宋"/>
          <w:color w:val="auto"/>
          <w:sz w:val="28"/>
          <w:szCs w:val="28"/>
          <w:highlight w:val="none"/>
          <w:lang w:val="en-US" w:eastAsia="zh-CN"/>
        </w:rPr>
        <w:t>2026年4月1日（星期三）12:00前</w:t>
      </w:r>
      <w:r>
        <w:rPr>
          <w:rFonts w:hint="eastAsia" w:ascii="仿宋" w:hAnsi="仿宋" w:eastAsia="仿宋" w:cs="仿宋"/>
          <w:color w:val="auto"/>
          <w:sz w:val="28"/>
          <w:szCs w:val="28"/>
          <w:highlight w:val="none"/>
        </w:rPr>
        <w:t>，将响应文件（或邮寄）至重庆市血液中心（邮寄地址：重庆市九龙坡区华福大道北段21号 重庆市血液中心 采购办</w:t>
      </w:r>
      <w:r>
        <w:rPr>
          <w:rFonts w:hint="eastAsia" w:ascii="仿宋" w:hAnsi="仿宋" w:eastAsia="仿宋" w:cs="仿宋"/>
          <w:color w:val="auto"/>
          <w:sz w:val="28"/>
          <w:szCs w:val="28"/>
          <w:highlight w:val="none"/>
          <w:lang w:eastAsia="zh-CN"/>
        </w:rPr>
        <w:t>鲁</w:t>
      </w:r>
      <w:r>
        <w:rPr>
          <w:rFonts w:hint="eastAsia" w:ascii="仿宋" w:hAnsi="仿宋" w:eastAsia="仿宋" w:cs="仿宋"/>
          <w:color w:val="auto"/>
          <w:sz w:val="28"/>
          <w:szCs w:val="28"/>
          <w:highlight w:val="none"/>
        </w:rPr>
        <w:t xml:space="preserve">老师 </w:t>
      </w:r>
      <w:r>
        <w:rPr>
          <w:rFonts w:hint="eastAsia" w:ascii="仿宋" w:hAnsi="仿宋" w:eastAsia="仿宋" w:cs="仿宋"/>
          <w:color w:val="auto"/>
          <w:sz w:val="28"/>
          <w:szCs w:val="28"/>
          <w:highlight w:val="none"/>
          <w:lang w:val="en-US" w:eastAsia="zh-CN"/>
        </w:rPr>
        <w:t>18696668121</w:t>
      </w:r>
      <w:r>
        <w:rPr>
          <w:rFonts w:hint="eastAsia" w:ascii="仿宋" w:hAnsi="仿宋" w:eastAsia="仿宋" w:cs="仿宋"/>
          <w:color w:val="auto"/>
          <w:sz w:val="28"/>
          <w:szCs w:val="28"/>
          <w:highlight w:val="none"/>
        </w:rPr>
        <w:t>），过期后不再收。</w:t>
      </w:r>
    </w:p>
    <w:p>
      <w:pPr>
        <w:numPr>
          <w:ilvl w:val="0"/>
          <w:numId w:val="7"/>
        </w:num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投标人制作的响应文件，须按照要求制作，规定签字、盖章的地方必须按其规定签字、盖章，未按要求制作响应文件的视为无效投标处理。</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244" w:name="_Toc415"/>
      <w:bookmarkStart w:id="245" w:name="_Toc3370"/>
      <w:bookmarkStart w:id="246" w:name="_Toc27222"/>
      <w:r>
        <w:rPr>
          <w:rFonts w:hint="eastAsia"/>
          <w:b/>
          <w:bCs/>
          <w:color w:val="auto"/>
          <w:sz w:val="28"/>
          <w:szCs w:val="28"/>
          <w:highlight w:val="none"/>
          <w:lang w:val="en-US" w:eastAsia="zh-CN"/>
        </w:rPr>
        <w:t>四、中标人的变更</w:t>
      </w:r>
      <w:bookmarkEnd w:id="239"/>
      <w:bookmarkEnd w:id="240"/>
      <w:bookmarkEnd w:id="241"/>
      <w:bookmarkEnd w:id="242"/>
      <w:bookmarkEnd w:id="243"/>
      <w:bookmarkEnd w:id="244"/>
      <w:bookmarkEnd w:id="245"/>
      <w:bookmarkEnd w:id="246"/>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投标人拒绝签订政府采购合同的，采购人可以按照评审报告推荐的成交候选人顺序，确定排名下一位的候选人为投标人，也可以重新开展政府采购活动。拒绝签订政府采购合同的成交供应商不得参加对</w:t>
      </w:r>
      <w:bookmarkStart w:id="385" w:name="_GoBack"/>
      <w:bookmarkEnd w:id="385"/>
      <w:r>
        <w:rPr>
          <w:rFonts w:hint="eastAsia" w:ascii="仿宋" w:hAnsi="仿宋" w:eastAsia="仿宋" w:cs="仿宋"/>
          <w:color w:val="auto"/>
          <w:sz w:val="28"/>
          <w:szCs w:val="28"/>
          <w:highlight w:val="none"/>
        </w:rPr>
        <w:t>该项目重新开展的采购活动。</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247" w:name="_Toc29009"/>
      <w:bookmarkStart w:id="248" w:name="_Toc29821"/>
      <w:bookmarkStart w:id="249" w:name="_Toc106034799"/>
      <w:bookmarkStart w:id="250" w:name="_Toc14331"/>
      <w:bookmarkStart w:id="251" w:name="_Toc65660359"/>
      <w:bookmarkStart w:id="252" w:name="_Toc10504"/>
      <w:bookmarkStart w:id="253" w:name="_Toc1092"/>
      <w:bookmarkStart w:id="254" w:name="_Toc3560"/>
      <w:r>
        <w:rPr>
          <w:rFonts w:hint="eastAsia"/>
          <w:b/>
          <w:bCs/>
          <w:color w:val="auto"/>
          <w:sz w:val="28"/>
          <w:szCs w:val="28"/>
          <w:highlight w:val="none"/>
          <w:lang w:val="en-US" w:eastAsia="zh-CN"/>
        </w:rPr>
        <w:t>五、成交通知</w:t>
      </w:r>
      <w:bookmarkEnd w:id="247"/>
      <w:bookmarkEnd w:id="248"/>
      <w:bookmarkEnd w:id="249"/>
      <w:bookmarkEnd w:id="250"/>
      <w:bookmarkEnd w:id="251"/>
      <w:bookmarkEnd w:id="252"/>
      <w:bookmarkEnd w:id="253"/>
      <w:bookmarkEnd w:id="254"/>
    </w:p>
    <w:p>
      <w:pPr>
        <w:spacing w:line="312"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）评审结束后重庆市血液中心将在官网发出正式采购结果公（https://www.ccbc.org.cn/index.html）。</w:t>
      </w:r>
    </w:p>
    <w:p>
      <w:pPr>
        <w:spacing w:line="312" w:lineRule="auto"/>
        <w:ind w:firstLine="280" w:firstLineChars="100"/>
        <w:rPr>
          <w:rFonts w:hint="eastAsia" w:ascii="仿宋" w:hAnsi="仿宋" w:eastAsia="仿宋" w:cs="仿宋"/>
          <w:color w:val="auto"/>
          <w:sz w:val="28"/>
          <w:szCs w:val="28"/>
          <w:highlight w:val="none"/>
        </w:rPr>
      </w:pPr>
      <w:bookmarkStart w:id="255" w:name="_Toc21150"/>
      <w:bookmarkStart w:id="256" w:name="_Toc9167"/>
      <w:bookmarkStart w:id="257" w:name="_Toc28312"/>
      <w:r>
        <w:rPr>
          <w:rFonts w:hint="eastAsia" w:ascii="仿宋" w:hAnsi="仿宋" w:eastAsia="仿宋" w:cs="仿宋"/>
          <w:color w:val="auto"/>
          <w:sz w:val="28"/>
          <w:szCs w:val="28"/>
          <w:highlight w:val="none"/>
        </w:rPr>
        <w:t>(二）采购结果公告将作为签订合同的依据。</w:t>
      </w:r>
      <w:bookmarkEnd w:id="255"/>
      <w:bookmarkEnd w:id="256"/>
      <w:bookmarkEnd w:id="257"/>
    </w:p>
    <w:p>
      <w:pPr>
        <w:spacing w:line="312"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（三）签订合同时，根据需要采购人有权提出对技术条件发生变化的货物或服务作局部调整或变更数量，但需经双方书面确认。</w:t>
      </w:r>
      <w:bookmarkStart w:id="258" w:name="_Toc9119"/>
      <w:bookmarkStart w:id="259" w:name="_Toc17788"/>
      <w:bookmarkStart w:id="260" w:name="_Toc9180"/>
      <w:bookmarkStart w:id="261" w:name="_Toc65660378"/>
      <w:bookmarkStart w:id="262" w:name="_Toc9538"/>
      <w:bookmarkStart w:id="263" w:name="_Toc18521"/>
      <w:bookmarkStart w:id="264" w:name="_Toc6968"/>
      <w:bookmarkStart w:id="265" w:name="_Toc12789072"/>
      <w:bookmarkStart w:id="266" w:name="_Toc106034807"/>
    </w:p>
    <w:p>
      <w:pPr>
        <w:spacing w:line="312" w:lineRule="auto"/>
        <w:ind w:left="0" w:leftChars="0" w:firstLine="281" w:firstLineChars="100"/>
        <w:outlineLvl w:val="1"/>
        <w:rPr>
          <w:rFonts w:hint="eastAsia"/>
          <w:b/>
          <w:bCs/>
          <w:color w:val="auto"/>
          <w:sz w:val="28"/>
          <w:szCs w:val="28"/>
          <w:highlight w:val="none"/>
          <w:lang w:val="en-US" w:eastAsia="zh-CN"/>
        </w:rPr>
      </w:pPr>
      <w:r>
        <w:rPr>
          <w:rFonts w:hint="eastAsia"/>
          <w:b/>
          <w:bCs/>
          <w:color w:val="auto"/>
          <w:sz w:val="28"/>
          <w:szCs w:val="28"/>
          <w:highlight w:val="none"/>
          <w:lang w:val="en-US" w:eastAsia="zh-CN"/>
        </w:rPr>
        <w:t>六、签订合同</w:t>
      </w:r>
      <w:bookmarkEnd w:id="258"/>
      <w:bookmarkEnd w:id="259"/>
      <w:bookmarkEnd w:id="260"/>
    </w:p>
    <w:p>
      <w:pPr>
        <w:spacing w:line="312"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采购人原则上应在结果公告发出之日起二十日内和中标人签订采购合同，无正当理由不得拒绝或拖延合同签订。所签订的合同不得对询比通知书和投标人的响应文件作实质性修改。其他未尽事宜由采购人和中标人在采购合同中详细约定。</w:t>
      </w:r>
    </w:p>
    <w:p>
      <w:pPr>
        <w:spacing w:line="312"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（二）询比通知书、投标人的响应文件及澄清文件等，均为签订采购合同的依据。</w:t>
      </w:r>
    </w:p>
    <w:p>
      <w:pPr>
        <w:spacing w:line="312"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（三）合同生效条款由双方约定，法律、行政法规规定应当办理批准、登记等手续后生效的合同，依照其规定。</w:t>
      </w:r>
    </w:p>
    <w:p>
      <w:pPr>
        <w:spacing w:line="312" w:lineRule="auto"/>
        <w:ind w:firstLine="280" w:firstLineChars="100"/>
        <w:rPr>
          <w:rFonts w:hint="eastAsia"/>
          <w:color w:val="auto"/>
          <w:highlight w:val="none"/>
        </w:rPr>
      </w:pPr>
      <w:r>
        <w:rPr>
          <w:rFonts w:hint="eastAsia" w:ascii="仿宋" w:hAnsi="仿宋" w:eastAsia="仿宋" w:cs="仿宋"/>
          <w:color w:val="auto"/>
          <w:sz w:val="28"/>
          <w:szCs w:val="28"/>
          <w:highlight w:val="none"/>
        </w:rPr>
        <w:t>（四）采购人要求中标人提供履约保证金的，应当在询比通知书中予以约定。中标人履约完毕后，采购人根据采购文件规定无息退还其履约保证金。</w:t>
      </w:r>
    </w:p>
    <w:p>
      <w:pPr>
        <w:rPr>
          <w:rFonts w:hint="eastAsia"/>
          <w:color w:val="auto"/>
          <w:highlight w:val="none"/>
        </w:rPr>
      </w:pPr>
    </w:p>
    <w:p>
      <w:pPr>
        <w:pStyle w:val="3"/>
        <w:bidi w:val="0"/>
        <w:jc w:val="center"/>
        <w:outlineLvl w:val="1"/>
        <w:rPr>
          <w:rFonts w:hint="eastAsia"/>
          <w:color w:val="auto"/>
          <w:highlight w:val="none"/>
        </w:rPr>
      </w:pPr>
      <w:bookmarkStart w:id="267" w:name="_Toc2083"/>
      <w:bookmarkStart w:id="268" w:name="_Toc18087"/>
      <w:bookmarkStart w:id="269" w:name="_Toc13677"/>
      <w:r>
        <w:rPr>
          <w:rFonts w:hint="eastAsia"/>
          <w:color w:val="auto"/>
          <w:highlight w:val="none"/>
        </w:rPr>
        <w:t>第六篇  响应文件格式要求</w:t>
      </w:r>
      <w:bookmarkEnd w:id="261"/>
      <w:bookmarkEnd w:id="262"/>
      <w:bookmarkEnd w:id="263"/>
      <w:bookmarkEnd w:id="264"/>
      <w:bookmarkEnd w:id="265"/>
      <w:bookmarkEnd w:id="266"/>
      <w:bookmarkEnd w:id="267"/>
      <w:bookmarkEnd w:id="268"/>
      <w:bookmarkEnd w:id="269"/>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270" w:name="_Toc1677"/>
      <w:bookmarkStart w:id="271" w:name="_Toc28988"/>
      <w:bookmarkStart w:id="272" w:name="_Toc3967"/>
      <w:r>
        <w:rPr>
          <w:rFonts w:hint="eastAsia"/>
          <w:b/>
          <w:bCs/>
          <w:color w:val="auto"/>
          <w:sz w:val="28"/>
          <w:szCs w:val="28"/>
          <w:highlight w:val="none"/>
          <w:lang w:val="en-US" w:eastAsia="zh-CN"/>
        </w:rPr>
        <w:t>一、经济部分</w:t>
      </w:r>
      <w:bookmarkEnd w:id="270"/>
      <w:bookmarkEnd w:id="271"/>
      <w:bookmarkEnd w:id="272"/>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（一）报价函</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（二）明细报价表</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273" w:name="_Toc164"/>
      <w:bookmarkStart w:id="274" w:name="_Toc4897"/>
      <w:bookmarkStart w:id="275" w:name="_Toc19893"/>
      <w:r>
        <w:rPr>
          <w:rFonts w:hint="eastAsia"/>
          <w:b/>
          <w:bCs/>
          <w:color w:val="auto"/>
          <w:sz w:val="28"/>
          <w:szCs w:val="28"/>
          <w:highlight w:val="none"/>
          <w:lang w:val="en-US" w:eastAsia="zh-CN"/>
        </w:rPr>
        <w:t>二、技术（质量）部分</w:t>
      </w:r>
      <w:bookmarkEnd w:id="273"/>
      <w:bookmarkEnd w:id="274"/>
      <w:bookmarkEnd w:id="275"/>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（一）技术（质量）响应偏离表</w:t>
      </w:r>
    </w:p>
    <w:p>
      <w:pPr>
        <w:tabs>
          <w:tab w:val="left" w:pos="6300"/>
        </w:tabs>
        <w:snapToGrid w:val="0"/>
        <w:spacing w:line="500" w:lineRule="exact"/>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（二）其他资料（格式自定）</w:t>
      </w:r>
    </w:p>
    <w:p>
      <w:pPr>
        <w:ind w:firstLine="560" w:firstLineChars="200"/>
        <w:jc w:val="both"/>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（三）现场踏勘回执</w:t>
      </w:r>
    </w:p>
    <w:p>
      <w:pPr>
        <w:tabs>
          <w:tab w:val="left" w:pos="6300"/>
        </w:tabs>
        <w:snapToGrid w:val="0"/>
        <w:spacing w:line="500" w:lineRule="exact"/>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b w:val="0"/>
          <w:bCs w:val="0"/>
          <w:color w:val="auto"/>
          <w:kern w:val="2"/>
          <w:sz w:val="28"/>
          <w:szCs w:val="28"/>
          <w:highlight w:val="none"/>
          <w:lang w:val="en-US" w:eastAsia="zh-CN" w:bidi="ar-SA"/>
        </w:rPr>
        <w:t>（四）主要材料品牌清单。</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276" w:name="_Toc28072"/>
      <w:bookmarkStart w:id="277" w:name="_Toc25644"/>
      <w:bookmarkStart w:id="278" w:name="_Toc7655"/>
      <w:r>
        <w:rPr>
          <w:rFonts w:hint="eastAsia"/>
          <w:b/>
          <w:bCs/>
          <w:color w:val="auto"/>
          <w:sz w:val="28"/>
          <w:szCs w:val="28"/>
          <w:highlight w:val="none"/>
          <w:lang w:val="en-US" w:eastAsia="zh-CN"/>
        </w:rPr>
        <w:t>三、服务部分</w:t>
      </w:r>
      <w:bookmarkEnd w:id="276"/>
      <w:bookmarkEnd w:id="277"/>
      <w:bookmarkEnd w:id="278"/>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（一）服务响应偏离表</w:t>
      </w:r>
    </w:p>
    <w:p>
      <w:pPr>
        <w:spacing w:line="312" w:lineRule="auto"/>
        <w:ind w:firstLine="560" w:firstLineChars="200"/>
        <w:rPr>
          <w:rFonts w:hint="eastAsia" w:ascii="方正仿宋_GBK" w:hAnsi="宋体" w:eastAsia="方正仿宋_GBK"/>
          <w:color w:val="auto"/>
          <w:sz w:val="24"/>
          <w:szCs w:val="24"/>
          <w:highlight w:val="none"/>
        </w:rPr>
      </w:pPr>
      <w:r>
        <w:rPr>
          <w:rFonts w:hint="eastAsia" w:ascii="仿宋" w:hAnsi="仿宋" w:eastAsia="仿宋" w:cs="仿宋"/>
          <w:color w:val="auto"/>
          <w:sz w:val="28"/>
          <w:szCs w:val="28"/>
          <w:highlight w:val="none"/>
        </w:rPr>
        <w:t>（二）其它优惠服务承诺（格式自定）</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279" w:name="_Toc13739"/>
      <w:bookmarkStart w:id="280" w:name="_Toc14828"/>
      <w:bookmarkStart w:id="281" w:name="_Toc5806"/>
      <w:r>
        <w:rPr>
          <w:rFonts w:hint="eastAsia"/>
          <w:b/>
          <w:bCs/>
          <w:color w:val="auto"/>
          <w:sz w:val="28"/>
          <w:szCs w:val="28"/>
          <w:highlight w:val="none"/>
          <w:lang w:val="en-US" w:eastAsia="zh-CN"/>
        </w:rPr>
        <w:t>四、资格条件及其他</w:t>
      </w:r>
      <w:bookmarkEnd w:id="279"/>
      <w:bookmarkEnd w:id="280"/>
      <w:bookmarkEnd w:id="281"/>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（一）法人营业执照（副本）或事业单位法人证书（副本）或个体工商户营业执照或有效的自然人身份证明或社会团体法人登记证书</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（二）法定代表人身份证明书（格式）</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（三）法定代表人授权委托书（格式）</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（四）基本资格条件承诺函（格式）</w:t>
      </w:r>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（五）特定资格条件证书或证明文件</w:t>
      </w: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b/>
          <w:bCs/>
          <w:color w:val="auto"/>
          <w:sz w:val="28"/>
          <w:szCs w:val="28"/>
          <w:highlight w:val="none"/>
          <w:lang w:val="en-US" w:eastAsia="zh-CN"/>
        </w:rPr>
      </w:pPr>
      <w:bookmarkStart w:id="282" w:name="_Toc27073"/>
      <w:bookmarkStart w:id="283" w:name="_Toc2037"/>
      <w:bookmarkStart w:id="284" w:name="_Toc26121"/>
      <w:r>
        <w:rPr>
          <w:rFonts w:hint="eastAsia"/>
          <w:b/>
          <w:bCs/>
          <w:color w:val="auto"/>
          <w:sz w:val="28"/>
          <w:szCs w:val="28"/>
          <w:highlight w:val="none"/>
          <w:lang w:val="en-US" w:eastAsia="zh-CN"/>
        </w:rPr>
        <w:t>五、其他资料</w:t>
      </w:r>
      <w:bookmarkEnd w:id="282"/>
      <w:bookmarkEnd w:id="283"/>
      <w:bookmarkEnd w:id="284"/>
    </w:p>
    <w:p>
      <w:pPr>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其他与项目有关的资料（自附）</w:t>
      </w:r>
    </w:p>
    <w:p>
      <w:pPr>
        <w:spacing w:line="312" w:lineRule="auto"/>
        <w:ind w:firstLine="560" w:firstLineChars="200"/>
        <w:rPr>
          <w:rFonts w:hint="eastAsia" w:ascii="仿宋" w:hAnsi="仿宋" w:eastAsia="仿宋" w:cs="仿宋"/>
          <w:color w:val="auto"/>
          <w:sz w:val="28"/>
          <w:szCs w:val="28"/>
          <w:highlight w:val="none"/>
        </w:rPr>
        <w:sectPr>
          <w:pgSz w:w="11907" w:h="16840"/>
          <w:pgMar w:top="1134" w:right="1191" w:bottom="1134" w:left="1304" w:header="851" w:footer="992" w:gutter="0"/>
          <w:cols w:space="720" w:num="1"/>
          <w:docGrid w:linePitch="380" w:charSpace="-5735"/>
        </w:sectPr>
      </w:pPr>
    </w:p>
    <w:p>
      <w:pPr>
        <w:pStyle w:val="4"/>
        <w:keepNext/>
        <w:keepLines/>
        <w:pageBreakBefore w:val="0"/>
        <w:widowControl w:val="0"/>
        <w:kinsoku/>
        <w:wordWrap/>
        <w:overflowPunct/>
        <w:topLinePunct w:val="0"/>
        <w:autoSpaceDE/>
        <w:autoSpaceDN/>
        <w:bidi w:val="0"/>
        <w:adjustRightInd/>
        <w:snapToGrid w:val="0"/>
        <w:spacing w:line="560" w:lineRule="exact"/>
        <w:textAlignment w:val="auto"/>
        <w:outlineLvl w:val="0"/>
        <w:rPr>
          <w:rFonts w:hint="eastAsia" w:ascii="仿宋" w:hAnsi="仿宋" w:eastAsia="仿宋" w:cs="仿宋"/>
          <w:color w:val="auto"/>
          <w:sz w:val="28"/>
          <w:szCs w:val="28"/>
          <w:highlight w:val="none"/>
        </w:rPr>
      </w:pPr>
      <w:bookmarkStart w:id="285" w:name="_Toc313008356"/>
      <w:bookmarkStart w:id="286" w:name="_Toc26343"/>
      <w:bookmarkStart w:id="287" w:name="_Toc342913419"/>
      <w:bookmarkStart w:id="288" w:name="_Toc106034808"/>
      <w:bookmarkStart w:id="289" w:name="_Toc30982"/>
      <w:bookmarkStart w:id="290" w:name="_Toc65660379"/>
      <w:bookmarkStart w:id="291" w:name="_Toc14244"/>
      <w:bookmarkStart w:id="292" w:name="_Toc29228"/>
      <w:bookmarkStart w:id="293" w:name="_Toc23271"/>
      <w:bookmarkStart w:id="294" w:name="_Toc313888360"/>
      <w:bookmarkStart w:id="295" w:name="_Toc24077"/>
      <w:bookmarkStart w:id="296" w:name="_Toc283382454"/>
      <w:bookmarkStart w:id="297" w:name="_Toc12789073"/>
      <w:r>
        <w:rPr>
          <w:rFonts w:hint="eastAsia" w:ascii="仿宋" w:hAnsi="仿宋" w:eastAsia="仿宋" w:cs="仿宋"/>
          <w:color w:val="auto"/>
          <w:sz w:val="28"/>
          <w:szCs w:val="28"/>
          <w:highlight w:val="none"/>
        </w:rPr>
        <w:t>一、经济</w:t>
      </w:r>
      <w:r>
        <w:rPr>
          <w:rFonts w:hint="eastAsia"/>
          <w:b/>
          <w:bCs/>
          <w:color w:val="auto"/>
          <w:sz w:val="28"/>
          <w:szCs w:val="28"/>
          <w:highlight w:val="none"/>
          <w:lang w:val="en-US" w:eastAsia="zh-CN"/>
        </w:rPr>
        <w:t>部分</w:t>
      </w:r>
      <w:bookmarkEnd w:id="285"/>
      <w:bookmarkEnd w:id="286"/>
      <w:bookmarkEnd w:id="287"/>
      <w:bookmarkEnd w:id="288"/>
      <w:bookmarkEnd w:id="289"/>
      <w:bookmarkEnd w:id="290"/>
      <w:bookmarkEnd w:id="291"/>
      <w:bookmarkEnd w:id="292"/>
      <w:bookmarkEnd w:id="293"/>
      <w:bookmarkEnd w:id="294"/>
      <w:bookmarkEnd w:id="295"/>
    </w:p>
    <w:bookmarkEnd w:id="296"/>
    <w:bookmarkEnd w:id="297"/>
    <w:p>
      <w:pPr>
        <w:spacing w:line="400" w:lineRule="exact"/>
        <w:ind w:firstLine="560" w:firstLineChars="200"/>
        <w:outlineLvl w:val="1"/>
        <w:rPr>
          <w:rFonts w:hint="eastAsia" w:ascii="仿宋" w:hAnsi="仿宋" w:eastAsia="仿宋" w:cs="仿宋"/>
          <w:color w:val="auto"/>
          <w:sz w:val="28"/>
          <w:szCs w:val="28"/>
          <w:highlight w:val="none"/>
        </w:rPr>
      </w:pPr>
      <w:bookmarkStart w:id="298" w:name="_Toc19695"/>
      <w:bookmarkStart w:id="299" w:name="_Toc1906"/>
      <w:bookmarkStart w:id="300" w:name="_Toc12296"/>
      <w:r>
        <w:rPr>
          <w:rFonts w:hint="eastAsia" w:ascii="仿宋" w:hAnsi="仿宋" w:eastAsia="仿宋" w:cs="仿宋"/>
          <w:color w:val="auto"/>
          <w:sz w:val="28"/>
          <w:szCs w:val="28"/>
          <w:highlight w:val="none"/>
        </w:rPr>
        <w:t>（一）报价函</w:t>
      </w:r>
      <w:bookmarkEnd w:id="298"/>
      <w:bookmarkEnd w:id="299"/>
      <w:bookmarkEnd w:id="300"/>
    </w:p>
    <w:p>
      <w:pPr>
        <w:tabs>
          <w:tab w:val="left" w:pos="6300"/>
        </w:tabs>
        <w:snapToGrid w:val="0"/>
        <w:spacing w:line="312"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报价函</w:t>
      </w:r>
    </w:p>
    <w:p>
      <w:pPr>
        <w:tabs>
          <w:tab w:val="left" w:pos="6300"/>
        </w:tabs>
        <w:snapToGrid w:val="0"/>
        <w:spacing w:line="312" w:lineRule="auto"/>
        <w:ind w:firstLine="560" w:firstLineChars="200"/>
        <w:rPr>
          <w:rFonts w:hint="eastAsia" w:ascii="仿宋" w:hAnsi="仿宋" w:eastAsia="仿宋" w:cs="仿宋"/>
          <w:color w:val="auto"/>
          <w:sz w:val="28"/>
          <w:szCs w:val="28"/>
          <w:highlight w:val="none"/>
        </w:rPr>
      </w:pPr>
    </w:p>
    <w:p>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__________________________：</w:t>
      </w:r>
    </w:p>
    <w:p>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我方收到____________________________（</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项目名称）的询比通知书，经详细研究，决定参加该询价项目的报价。</w:t>
      </w:r>
    </w:p>
    <w:p>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1.愿意按照询比通知书中的一切要求，提供本项目的交货及技术服务，项目报价（总价）为人民币大写：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元整；人民币小写：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元。以我公司报价为准。</w:t>
      </w:r>
    </w:p>
    <w:p>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2.我方现提交的响应文件为：响应文件纸质件</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p>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3.我方承诺：本次报价的有效期为提交响应文件截止时间起90天。</w:t>
      </w:r>
    </w:p>
    <w:p>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4.我方完全理解和接受贵方询比通知书的一切规定和要求及评审办法。</w:t>
      </w:r>
    </w:p>
    <w:p>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5.在整个询比过程中，我方若有违规行为，接受按照《中华人民共和国政府采购法》和《询比通知书》之规定给予惩罚。</w:t>
      </w:r>
    </w:p>
    <w:p>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6.我方若成为中标人，将按照最终报价结果签订合同，并且严格履行合同义务。本承诺函将成为合同不可分割的一部分，与合同具有同等的法律效力。</w:t>
      </w:r>
    </w:p>
    <w:p>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7.我方未为采购项目提供整体设计、规范编制或者项目管理、监理、检测等服务。</w:t>
      </w:r>
    </w:p>
    <w:p>
      <w:pPr>
        <w:tabs>
          <w:tab w:val="left" w:pos="6300"/>
        </w:tabs>
        <w:snapToGrid w:val="0"/>
        <w:spacing w:line="312"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投标人（公章）或自然人签署：</w:t>
      </w:r>
    </w:p>
    <w:p>
      <w:pPr>
        <w:tabs>
          <w:tab w:val="left" w:pos="6300"/>
        </w:tabs>
        <w:snapToGrid w:val="0"/>
        <w:spacing w:line="312"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地址：  </w:t>
      </w:r>
    </w:p>
    <w:p>
      <w:pPr>
        <w:tabs>
          <w:tab w:val="left" w:pos="6300"/>
        </w:tabs>
        <w:snapToGrid w:val="0"/>
        <w:spacing w:line="312"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                           传真：</w:t>
      </w:r>
    </w:p>
    <w:p>
      <w:pPr>
        <w:tabs>
          <w:tab w:val="left" w:pos="6300"/>
        </w:tabs>
        <w:snapToGrid w:val="0"/>
        <w:spacing w:line="312"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                           邮编：</w:t>
      </w:r>
    </w:p>
    <w:p>
      <w:pPr>
        <w:tabs>
          <w:tab w:val="left" w:pos="6300"/>
        </w:tabs>
        <w:snapToGrid w:val="0"/>
        <w:spacing w:line="312"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p>
      <w:pPr>
        <w:snapToGrid w:val="0"/>
        <w:spacing w:line="312" w:lineRule="auto"/>
        <w:ind w:firstLine="560" w:firstLineChars="200"/>
        <w:rPr>
          <w:rFonts w:hint="eastAsia" w:ascii="仿宋" w:hAnsi="仿宋" w:eastAsia="仿宋" w:cs="仿宋"/>
          <w:color w:val="auto"/>
          <w:sz w:val="28"/>
          <w:szCs w:val="28"/>
          <w:highlight w:val="none"/>
        </w:rPr>
        <w:sectPr>
          <w:pgSz w:w="11907" w:h="16840"/>
          <w:pgMar w:top="1134" w:right="1191" w:bottom="1134" w:left="1304" w:header="851" w:footer="992" w:gutter="0"/>
          <w:cols w:space="720" w:num="1"/>
          <w:docGrid w:linePitch="380" w:charSpace="-5735"/>
        </w:sectPr>
      </w:pPr>
      <w:r>
        <w:rPr>
          <w:rFonts w:hint="eastAsia" w:ascii="仿宋" w:hAnsi="仿宋" w:eastAsia="仿宋" w:cs="仿宋"/>
          <w:color w:val="auto"/>
          <w:sz w:val="28"/>
          <w:szCs w:val="28"/>
          <w:highlight w:val="none"/>
        </w:rPr>
        <w:t xml:space="preserve">                               年   月   日</w:t>
      </w:r>
    </w:p>
    <w:p>
      <w:pPr>
        <w:spacing w:line="400" w:lineRule="exact"/>
        <w:ind w:firstLine="560" w:firstLineChars="200"/>
        <w:outlineLvl w:val="1"/>
        <w:rPr>
          <w:rFonts w:hint="eastAsia" w:ascii="仿宋" w:hAnsi="仿宋" w:eastAsia="仿宋" w:cs="仿宋"/>
          <w:color w:val="auto"/>
          <w:sz w:val="28"/>
          <w:szCs w:val="28"/>
          <w:highlight w:val="none"/>
        </w:rPr>
      </w:pPr>
      <w:bookmarkStart w:id="301" w:name="_Toc4248"/>
      <w:bookmarkStart w:id="302" w:name="_Toc21664"/>
      <w:bookmarkStart w:id="303" w:name="_Toc22690"/>
      <w:r>
        <w:rPr>
          <w:rFonts w:hint="eastAsia" w:ascii="仿宋" w:hAnsi="仿宋" w:eastAsia="仿宋" w:cs="仿宋"/>
          <w:color w:val="auto"/>
          <w:sz w:val="28"/>
          <w:szCs w:val="28"/>
          <w:highlight w:val="none"/>
        </w:rPr>
        <w:t>（二）明细报价表</w:t>
      </w:r>
      <w:bookmarkEnd w:id="301"/>
      <w:bookmarkEnd w:id="302"/>
      <w:bookmarkEnd w:id="303"/>
    </w:p>
    <w:p>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询比项目名称：</w:t>
      </w:r>
    </w:p>
    <w:tbl>
      <w:tblPr>
        <w:tblStyle w:val="31"/>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845"/>
        <w:gridCol w:w="1620"/>
        <w:gridCol w:w="1155"/>
        <w:gridCol w:w="153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503" w:type="dxa"/>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产品名称</w:t>
            </w:r>
          </w:p>
        </w:tc>
        <w:tc>
          <w:tcPr>
            <w:tcW w:w="1845" w:type="dxa"/>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品牌及产地</w:t>
            </w:r>
          </w:p>
        </w:tc>
        <w:tc>
          <w:tcPr>
            <w:tcW w:w="1620" w:type="dxa"/>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1155" w:type="dxa"/>
            <w:vAlign w:val="center"/>
          </w:tcPr>
          <w:p>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数量</w:t>
            </w:r>
          </w:p>
        </w:tc>
        <w:tc>
          <w:tcPr>
            <w:tcW w:w="1530" w:type="dxa"/>
            <w:vAlign w:val="center"/>
          </w:tcPr>
          <w:p>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单价</w:t>
            </w:r>
          </w:p>
        </w:tc>
        <w:tc>
          <w:tcPr>
            <w:tcW w:w="1800" w:type="dxa"/>
            <w:vAlign w:val="center"/>
          </w:tcPr>
          <w:p>
            <w:pPr>
              <w:spacing w:line="500" w:lineRule="exact"/>
              <w:jc w:val="center"/>
              <w:rPr>
                <w:rFonts w:hint="eastAsia" w:ascii="仿宋" w:hAnsi="仿宋" w:eastAsia="仿宋" w:cs="仿宋"/>
                <w:color w:val="auto"/>
                <w:sz w:val="28"/>
                <w:szCs w:val="28"/>
                <w:highlight w:val="none"/>
              </w:rPr>
            </w:pPr>
          </w:p>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合计</w:t>
            </w:r>
          </w:p>
          <w:p>
            <w:pPr>
              <w:spacing w:line="5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503"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c>
          <w:tcPr>
            <w:tcW w:w="1845"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c>
          <w:tcPr>
            <w:tcW w:w="1620"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c>
          <w:tcPr>
            <w:tcW w:w="1155"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c>
          <w:tcPr>
            <w:tcW w:w="1530"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c>
          <w:tcPr>
            <w:tcW w:w="1800"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503" w:type="dxa"/>
            <w:vAlign w:val="center"/>
          </w:tcPr>
          <w:p>
            <w:pPr>
              <w:jc w:val="center"/>
              <w:rPr>
                <w:rFonts w:hint="eastAsia" w:ascii="仿宋" w:hAnsi="仿宋" w:eastAsia="仿宋" w:cs="仿宋"/>
                <w:color w:val="auto"/>
                <w:sz w:val="28"/>
                <w:szCs w:val="28"/>
                <w:highlight w:val="none"/>
              </w:rPr>
            </w:pPr>
          </w:p>
        </w:tc>
        <w:tc>
          <w:tcPr>
            <w:tcW w:w="1845" w:type="dxa"/>
            <w:vAlign w:val="center"/>
          </w:tcPr>
          <w:p>
            <w:pPr>
              <w:jc w:val="center"/>
              <w:rPr>
                <w:rFonts w:hint="eastAsia" w:ascii="仿宋" w:hAnsi="仿宋" w:eastAsia="仿宋" w:cs="仿宋"/>
                <w:color w:val="auto"/>
                <w:sz w:val="28"/>
                <w:szCs w:val="28"/>
                <w:highlight w:val="none"/>
              </w:rPr>
            </w:pPr>
          </w:p>
        </w:tc>
        <w:tc>
          <w:tcPr>
            <w:tcW w:w="1620" w:type="dxa"/>
            <w:vAlign w:val="center"/>
          </w:tcPr>
          <w:p>
            <w:pPr>
              <w:jc w:val="center"/>
              <w:rPr>
                <w:rFonts w:hint="eastAsia" w:ascii="仿宋" w:hAnsi="仿宋" w:eastAsia="仿宋" w:cs="仿宋"/>
                <w:color w:val="auto"/>
                <w:sz w:val="28"/>
                <w:szCs w:val="28"/>
                <w:highlight w:val="none"/>
              </w:rPr>
            </w:pPr>
          </w:p>
        </w:tc>
        <w:tc>
          <w:tcPr>
            <w:tcW w:w="1155" w:type="dxa"/>
            <w:vAlign w:val="center"/>
          </w:tcPr>
          <w:p>
            <w:pPr>
              <w:jc w:val="center"/>
              <w:rPr>
                <w:rFonts w:hint="eastAsia" w:ascii="仿宋" w:hAnsi="仿宋" w:eastAsia="仿宋" w:cs="仿宋"/>
                <w:color w:val="auto"/>
                <w:sz w:val="28"/>
                <w:szCs w:val="28"/>
                <w:highlight w:val="none"/>
              </w:rPr>
            </w:pPr>
          </w:p>
        </w:tc>
        <w:tc>
          <w:tcPr>
            <w:tcW w:w="1530" w:type="dxa"/>
            <w:vAlign w:val="center"/>
          </w:tcPr>
          <w:p>
            <w:pPr>
              <w:jc w:val="center"/>
              <w:rPr>
                <w:rFonts w:hint="eastAsia" w:ascii="仿宋" w:hAnsi="仿宋" w:eastAsia="仿宋" w:cs="仿宋"/>
                <w:color w:val="auto"/>
                <w:sz w:val="28"/>
                <w:szCs w:val="28"/>
                <w:highlight w:val="none"/>
              </w:rPr>
            </w:pPr>
          </w:p>
        </w:tc>
        <w:tc>
          <w:tcPr>
            <w:tcW w:w="1800" w:type="dxa"/>
            <w:vAlign w:val="center"/>
          </w:tcPr>
          <w:p>
            <w:pPr>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503" w:type="dxa"/>
            <w:vAlign w:val="center"/>
          </w:tcPr>
          <w:p>
            <w:pPr>
              <w:jc w:val="center"/>
              <w:rPr>
                <w:rFonts w:hint="eastAsia" w:ascii="仿宋" w:hAnsi="仿宋" w:eastAsia="仿宋" w:cs="仿宋"/>
                <w:color w:val="auto"/>
                <w:sz w:val="28"/>
                <w:szCs w:val="28"/>
                <w:highlight w:val="none"/>
              </w:rPr>
            </w:pPr>
          </w:p>
        </w:tc>
        <w:tc>
          <w:tcPr>
            <w:tcW w:w="1845" w:type="dxa"/>
            <w:vAlign w:val="center"/>
          </w:tcPr>
          <w:p>
            <w:pPr>
              <w:jc w:val="center"/>
              <w:rPr>
                <w:rFonts w:hint="eastAsia" w:ascii="仿宋" w:hAnsi="仿宋" w:eastAsia="仿宋" w:cs="仿宋"/>
                <w:color w:val="auto"/>
                <w:sz w:val="28"/>
                <w:szCs w:val="28"/>
                <w:highlight w:val="none"/>
              </w:rPr>
            </w:pPr>
          </w:p>
        </w:tc>
        <w:tc>
          <w:tcPr>
            <w:tcW w:w="1620" w:type="dxa"/>
            <w:vAlign w:val="center"/>
          </w:tcPr>
          <w:p>
            <w:pPr>
              <w:jc w:val="center"/>
              <w:rPr>
                <w:rFonts w:hint="eastAsia" w:ascii="仿宋" w:hAnsi="仿宋" w:eastAsia="仿宋" w:cs="仿宋"/>
                <w:color w:val="auto"/>
                <w:sz w:val="28"/>
                <w:szCs w:val="28"/>
                <w:highlight w:val="none"/>
              </w:rPr>
            </w:pPr>
          </w:p>
        </w:tc>
        <w:tc>
          <w:tcPr>
            <w:tcW w:w="1155" w:type="dxa"/>
            <w:vAlign w:val="center"/>
          </w:tcPr>
          <w:p>
            <w:pPr>
              <w:jc w:val="center"/>
              <w:rPr>
                <w:rFonts w:hint="eastAsia" w:ascii="仿宋" w:hAnsi="仿宋" w:eastAsia="仿宋" w:cs="仿宋"/>
                <w:color w:val="auto"/>
                <w:sz w:val="28"/>
                <w:szCs w:val="28"/>
                <w:highlight w:val="none"/>
              </w:rPr>
            </w:pPr>
          </w:p>
        </w:tc>
        <w:tc>
          <w:tcPr>
            <w:tcW w:w="1530" w:type="dxa"/>
            <w:vAlign w:val="center"/>
          </w:tcPr>
          <w:p>
            <w:pPr>
              <w:jc w:val="center"/>
              <w:rPr>
                <w:rFonts w:hint="eastAsia" w:ascii="仿宋" w:hAnsi="仿宋" w:eastAsia="仿宋" w:cs="仿宋"/>
                <w:color w:val="auto"/>
                <w:sz w:val="28"/>
                <w:szCs w:val="28"/>
                <w:highlight w:val="none"/>
              </w:rPr>
            </w:pPr>
          </w:p>
        </w:tc>
        <w:tc>
          <w:tcPr>
            <w:tcW w:w="1800" w:type="dxa"/>
            <w:vAlign w:val="center"/>
          </w:tcPr>
          <w:p>
            <w:pPr>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503"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c>
          <w:tcPr>
            <w:tcW w:w="1845"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c>
          <w:tcPr>
            <w:tcW w:w="1620"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c>
          <w:tcPr>
            <w:tcW w:w="1155"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c>
          <w:tcPr>
            <w:tcW w:w="1530"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c>
          <w:tcPr>
            <w:tcW w:w="1800" w:type="dxa"/>
            <w:tcBorders>
              <w:bottom w:val="single" w:color="auto" w:sz="4" w:space="0"/>
            </w:tcBorders>
            <w:vAlign w:val="center"/>
          </w:tcPr>
          <w:p>
            <w:pPr>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503" w:type="dxa"/>
            <w:vAlign w:val="center"/>
          </w:tcPr>
          <w:p>
            <w:pPr>
              <w:jc w:val="cente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tc>
        <w:tc>
          <w:tcPr>
            <w:tcW w:w="1845" w:type="dxa"/>
            <w:vAlign w:val="center"/>
          </w:tcPr>
          <w:p>
            <w:pPr>
              <w:jc w:val="center"/>
              <w:rPr>
                <w:rFonts w:hint="eastAsia" w:ascii="仿宋" w:hAnsi="仿宋" w:eastAsia="仿宋" w:cs="仿宋"/>
                <w:color w:val="auto"/>
                <w:sz w:val="28"/>
                <w:szCs w:val="28"/>
                <w:highlight w:val="none"/>
              </w:rPr>
            </w:pPr>
          </w:p>
        </w:tc>
        <w:tc>
          <w:tcPr>
            <w:tcW w:w="1620" w:type="dxa"/>
            <w:vAlign w:val="center"/>
          </w:tcPr>
          <w:p>
            <w:pPr>
              <w:jc w:val="center"/>
              <w:rPr>
                <w:rFonts w:hint="eastAsia" w:ascii="仿宋" w:hAnsi="仿宋" w:eastAsia="仿宋" w:cs="仿宋"/>
                <w:color w:val="auto"/>
                <w:sz w:val="28"/>
                <w:szCs w:val="28"/>
                <w:highlight w:val="none"/>
              </w:rPr>
            </w:pPr>
          </w:p>
        </w:tc>
        <w:tc>
          <w:tcPr>
            <w:tcW w:w="1155" w:type="dxa"/>
            <w:vAlign w:val="center"/>
          </w:tcPr>
          <w:p>
            <w:pPr>
              <w:jc w:val="center"/>
              <w:rPr>
                <w:rFonts w:hint="eastAsia" w:ascii="仿宋" w:hAnsi="仿宋" w:eastAsia="仿宋" w:cs="仿宋"/>
                <w:color w:val="auto"/>
                <w:sz w:val="28"/>
                <w:szCs w:val="28"/>
                <w:highlight w:val="none"/>
              </w:rPr>
            </w:pPr>
          </w:p>
        </w:tc>
        <w:tc>
          <w:tcPr>
            <w:tcW w:w="1530" w:type="dxa"/>
            <w:vAlign w:val="center"/>
          </w:tcPr>
          <w:p>
            <w:pPr>
              <w:jc w:val="center"/>
              <w:rPr>
                <w:rFonts w:hint="eastAsia" w:ascii="仿宋" w:hAnsi="仿宋" w:eastAsia="仿宋" w:cs="仿宋"/>
                <w:color w:val="auto"/>
                <w:sz w:val="28"/>
                <w:szCs w:val="28"/>
                <w:highlight w:val="none"/>
              </w:rPr>
            </w:pPr>
          </w:p>
        </w:tc>
        <w:tc>
          <w:tcPr>
            <w:tcW w:w="1800" w:type="dxa"/>
            <w:vAlign w:val="center"/>
          </w:tcPr>
          <w:p>
            <w:pPr>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503" w:type="dxa"/>
            <w:vAlign w:val="center"/>
          </w:tcPr>
          <w:p>
            <w:pPr>
              <w:jc w:val="center"/>
              <w:rPr>
                <w:rFonts w:hint="eastAsia" w:ascii="仿宋" w:hAnsi="仿宋" w:eastAsia="仿宋" w:cs="仿宋"/>
                <w:color w:val="auto"/>
                <w:sz w:val="28"/>
                <w:szCs w:val="28"/>
                <w:highlight w:val="none"/>
              </w:rPr>
            </w:pPr>
          </w:p>
        </w:tc>
        <w:tc>
          <w:tcPr>
            <w:tcW w:w="1845" w:type="dxa"/>
            <w:vAlign w:val="center"/>
          </w:tcPr>
          <w:p>
            <w:pPr>
              <w:jc w:val="center"/>
              <w:rPr>
                <w:rFonts w:hint="eastAsia" w:ascii="仿宋" w:hAnsi="仿宋" w:eastAsia="仿宋" w:cs="仿宋"/>
                <w:color w:val="auto"/>
                <w:sz w:val="28"/>
                <w:szCs w:val="28"/>
                <w:highlight w:val="none"/>
              </w:rPr>
            </w:pPr>
          </w:p>
        </w:tc>
        <w:tc>
          <w:tcPr>
            <w:tcW w:w="1620" w:type="dxa"/>
            <w:vAlign w:val="center"/>
          </w:tcPr>
          <w:p>
            <w:pPr>
              <w:jc w:val="center"/>
              <w:rPr>
                <w:rFonts w:hint="eastAsia" w:ascii="仿宋" w:hAnsi="仿宋" w:eastAsia="仿宋" w:cs="仿宋"/>
                <w:color w:val="auto"/>
                <w:sz w:val="28"/>
                <w:szCs w:val="28"/>
                <w:highlight w:val="none"/>
              </w:rPr>
            </w:pPr>
          </w:p>
        </w:tc>
        <w:tc>
          <w:tcPr>
            <w:tcW w:w="1155" w:type="dxa"/>
            <w:vAlign w:val="center"/>
          </w:tcPr>
          <w:p>
            <w:pPr>
              <w:jc w:val="center"/>
              <w:rPr>
                <w:rFonts w:hint="eastAsia" w:ascii="仿宋" w:hAnsi="仿宋" w:eastAsia="仿宋" w:cs="仿宋"/>
                <w:color w:val="auto"/>
                <w:sz w:val="28"/>
                <w:szCs w:val="28"/>
                <w:highlight w:val="none"/>
              </w:rPr>
            </w:pPr>
          </w:p>
        </w:tc>
        <w:tc>
          <w:tcPr>
            <w:tcW w:w="1530" w:type="dxa"/>
            <w:vAlign w:val="center"/>
          </w:tcPr>
          <w:p>
            <w:pPr>
              <w:jc w:val="center"/>
              <w:rPr>
                <w:rFonts w:hint="eastAsia" w:ascii="仿宋" w:hAnsi="仿宋" w:eastAsia="仿宋" w:cs="仿宋"/>
                <w:color w:val="auto"/>
                <w:sz w:val="28"/>
                <w:szCs w:val="28"/>
                <w:highlight w:val="none"/>
              </w:rPr>
            </w:pPr>
          </w:p>
        </w:tc>
        <w:tc>
          <w:tcPr>
            <w:tcW w:w="1800" w:type="dxa"/>
            <w:vAlign w:val="center"/>
          </w:tcPr>
          <w:p>
            <w:pPr>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503" w:type="dxa"/>
            <w:vAlign w:val="center"/>
          </w:tcPr>
          <w:p>
            <w:pPr>
              <w:jc w:val="center"/>
              <w:rPr>
                <w:rFonts w:hint="eastAsia" w:ascii="仿宋" w:hAnsi="仿宋" w:eastAsia="仿宋" w:cs="仿宋"/>
                <w:color w:val="auto"/>
                <w:sz w:val="28"/>
                <w:szCs w:val="28"/>
                <w:highlight w:val="none"/>
              </w:rPr>
            </w:pPr>
          </w:p>
        </w:tc>
        <w:tc>
          <w:tcPr>
            <w:tcW w:w="1845" w:type="dxa"/>
            <w:vAlign w:val="center"/>
          </w:tcPr>
          <w:p>
            <w:pPr>
              <w:jc w:val="center"/>
              <w:rPr>
                <w:rFonts w:hint="eastAsia" w:ascii="仿宋" w:hAnsi="仿宋" w:eastAsia="仿宋" w:cs="仿宋"/>
                <w:color w:val="auto"/>
                <w:sz w:val="28"/>
                <w:szCs w:val="28"/>
                <w:highlight w:val="none"/>
              </w:rPr>
            </w:pPr>
          </w:p>
        </w:tc>
        <w:tc>
          <w:tcPr>
            <w:tcW w:w="1620" w:type="dxa"/>
            <w:vAlign w:val="center"/>
          </w:tcPr>
          <w:p>
            <w:pPr>
              <w:jc w:val="center"/>
              <w:rPr>
                <w:rFonts w:hint="eastAsia" w:ascii="仿宋" w:hAnsi="仿宋" w:eastAsia="仿宋" w:cs="仿宋"/>
                <w:color w:val="auto"/>
                <w:sz w:val="28"/>
                <w:szCs w:val="28"/>
                <w:highlight w:val="none"/>
              </w:rPr>
            </w:pPr>
          </w:p>
        </w:tc>
        <w:tc>
          <w:tcPr>
            <w:tcW w:w="1155" w:type="dxa"/>
            <w:vAlign w:val="center"/>
          </w:tcPr>
          <w:p>
            <w:pPr>
              <w:jc w:val="center"/>
              <w:rPr>
                <w:rFonts w:hint="eastAsia" w:ascii="仿宋" w:hAnsi="仿宋" w:eastAsia="仿宋" w:cs="仿宋"/>
                <w:color w:val="auto"/>
                <w:sz w:val="28"/>
                <w:szCs w:val="28"/>
                <w:highlight w:val="none"/>
              </w:rPr>
            </w:pPr>
          </w:p>
        </w:tc>
        <w:tc>
          <w:tcPr>
            <w:tcW w:w="1530" w:type="dxa"/>
            <w:vAlign w:val="center"/>
          </w:tcPr>
          <w:p>
            <w:pPr>
              <w:jc w:val="center"/>
              <w:rPr>
                <w:rFonts w:hint="eastAsia" w:ascii="仿宋" w:hAnsi="仿宋" w:eastAsia="仿宋" w:cs="仿宋"/>
                <w:color w:val="auto"/>
                <w:sz w:val="28"/>
                <w:szCs w:val="28"/>
                <w:highlight w:val="none"/>
              </w:rPr>
            </w:pPr>
          </w:p>
        </w:tc>
        <w:tc>
          <w:tcPr>
            <w:tcW w:w="1800" w:type="dxa"/>
            <w:vAlign w:val="center"/>
          </w:tcPr>
          <w:p>
            <w:pPr>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503" w:type="dxa"/>
            <w:vAlign w:val="center"/>
          </w:tcPr>
          <w:p>
            <w:pPr>
              <w:jc w:val="center"/>
              <w:rPr>
                <w:rFonts w:hint="eastAsia" w:ascii="仿宋" w:hAnsi="仿宋" w:eastAsia="仿宋" w:cs="仿宋"/>
                <w:color w:val="auto"/>
                <w:sz w:val="28"/>
                <w:szCs w:val="28"/>
                <w:highlight w:val="none"/>
              </w:rPr>
            </w:pPr>
          </w:p>
        </w:tc>
        <w:tc>
          <w:tcPr>
            <w:tcW w:w="1845" w:type="dxa"/>
            <w:vAlign w:val="center"/>
          </w:tcPr>
          <w:p>
            <w:pPr>
              <w:jc w:val="center"/>
              <w:rPr>
                <w:rFonts w:hint="eastAsia" w:ascii="仿宋" w:hAnsi="仿宋" w:eastAsia="仿宋" w:cs="仿宋"/>
                <w:color w:val="auto"/>
                <w:sz w:val="28"/>
                <w:szCs w:val="28"/>
                <w:highlight w:val="none"/>
              </w:rPr>
            </w:pPr>
          </w:p>
        </w:tc>
        <w:tc>
          <w:tcPr>
            <w:tcW w:w="1620" w:type="dxa"/>
            <w:vAlign w:val="center"/>
          </w:tcPr>
          <w:p>
            <w:pPr>
              <w:jc w:val="center"/>
              <w:rPr>
                <w:rFonts w:hint="eastAsia" w:ascii="仿宋" w:hAnsi="仿宋" w:eastAsia="仿宋" w:cs="仿宋"/>
                <w:color w:val="auto"/>
                <w:sz w:val="28"/>
                <w:szCs w:val="28"/>
                <w:highlight w:val="none"/>
              </w:rPr>
            </w:pPr>
          </w:p>
        </w:tc>
        <w:tc>
          <w:tcPr>
            <w:tcW w:w="1155" w:type="dxa"/>
            <w:vAlign w:val="center"/>
          </w:tcPr>
          <w:p>
            <w:pPr>
              <w:jc w:val="center"/>
              <w:rPr>
                <w:rFonts w:hint="eastAsia" w:ascii="仿宋" w:hAnsi="仿宋" w:eastAsia="仿宋" w:cs="仿宋"/>
                <w:color w:val="auto"/>
                <w:sz w:val="28"/>
                <w:szCs w:val="28"/>
                <w:highlight w:val="none"/>
              </w:rPr>
            </w:pPr>
          </w:p>
        </w:tc>
        <w:tc>
          <w:tcPr>
            <w:tcW w:w="1530" w:type="dxa"/>
            <w:vAlign w:val="center"/>
          </w:tcPr>
          <w:p>
            <w:pPr>
              <w:jc w:val="center"/>
              <w:rPr>
                <w:rFonts w:hint="eastAsia" w:ascii="仿宋" w:hAnsi="仿宋" w:eastAsia="仿宋" w:cs="仿宋"/>
                <w:color w:val="auto"/>
                <w:sz w:val="28"/>
                <w:szCs w:val="28"/>
                <w:highlight w:val="none"/>
              </w:rPr>
            </w:pPr>
          </w:p>
        </w:tc>
        <w:tc>
          <w:tcPr>
            <w:tcW w:w="1800" w:type="dxa"/>
            <w:vAlign w:val="center"/>
          </w:tcPr>
          <w:p>
            <w:pPr>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503" w:type="dxa"/>
            <w:vAlign w:val="center"/>
          </w:tcPr>
          <w:p>
            <w:pPr>
              <w:jc w:val="center"/>
              <w:rPr>
                <w:rFonts w:hint="eastAsia" w:ascii="仿宋" w:hAnsi="仿宋" w:eastAsia="仿宋" w:cs="仿宋"/>
                <w:color w:val="auto"/>
                <w:sz w:val="28"/>
                <w:szCs w:val="28"/>
                <w:highlight w:val="none"/>
              </w:rPr>
            </w:pPr>
          </w:p>
        </w:tc>
        <w:tc>
          <w:tcPr>
            <w:tcW w:w="1845" w:type="dxa"/>
            <w:vAlign w:val="center"/>
          </w:tcPr>
          <w:p>
            <w:pPr>
              <w:jc w:val="center"/>
              <w:rPr>
                <w:rFonts w:hint="eastAsia" w:ascii="仿宋" w:hAnsi="仿宋" w:eastAsia="仿宋" w:cs="仿宋"/>
                <w:color w:val="auto"/>
                <w:sz w:val="28"/>
                <w:szCs w:val="28"/>
                <w:highlight w:val="none"/>
              </w:rPr>
            </w:pPr>
          </w:p>
        </w:tc>
        <w:tc>
          <w:tcPr>
            <w:tcW w:w="1620" w:type="dxa"/>
            <w:vAlign w:val="center"/>
          </w:tcPr>
          <w:p>
            <w:pPr>
              <w:jc w:val="center"/>
              <w:rPr>
                <w:rFonts w:hint="eastAsia" w:ascii="仿宋" w:hAnsi="仿宋" w:eastAsia="仿宋" w:cs="仿宋"/>
                <w:color w:val="auto"/>
                <w:sz w:val="28"/>
                <w:szCs w:val="28"/>
                <w:highlight w:val="none"/>
              </w:rPr>
            </w:pPr>
          </w:p>
        </w:tc>
        <w:tc>
          <w:tcPr>
            <w:tcW w:w="1155" w:type="dxa"/>
            <w:vAlign w:val="center"/>
          </w:tcPr>
          <w:p>
            <w:pPr>
              <w:jc w:val="center"/>
              <w:rPr>
                <w:rFonts w:hint="eastAsia" w:ascii="仿宋" w:hAnsi="仿宋" w:eastAsia="仿宋" w:cs="仿宋"/>
                <w:color w:val="auto"/>
                <w:sz w:val="28"/>
                <w:szCs w:val="28"/>
                <w:highlight w:val="none"/>
              </w:rPr>
            </w:pPr>
          </w:p>
        </w:tc>
        <w:tc>
          <w:tcPr>
            <w:tcW w:w="1530" w:type="dxa"/>
            <w:vAlign w:val="center"/>
          </w:tcPr>
          <w:p>
            <w:pPr>
              <w:jc w:val="center"/>
              <w:rPr>
                <w:rFonts w:hint="eastAsia" w:ascii="仿宋" w:hAnsi="仿宋" w:eastAsia="仿宋" w:cs="仿宋"/>
                <w:color w:val="auto"/>
                <w:sz w:val="28"/>
                <w:szCs w:val="28"/>
                <w:highlight w:val="none"/>
              </w:rPr>
            </w:pPr>
          </w:p>
        </w:tc>
        <w:tc>
          <w:tcPr>
            <w:tcW w:w="1800" w:type="dxa"/>
            <w:vAlign w:val="center"/>
          </w:tcPr>
          <w:p>
            <w:pPr>
              <w:jc w:val="center"/>
              <w:rPr>
                <w:rFonts w:hint="eastAsia" w:ascii="仿宋" w:hAnsi="仿宋" w:eastAsia="仿宋" w:cs="仿宋"/>
                <w:color w:val="auto"/>
                <w:sz w:val="28"/>
                <w:szCs w:val="28"/>
                <w:highlight w:val="none"/>
              </w:rPr>
            </w:pPr>
          </w:p>
        </w:tc>
      </w:tr>
    </w:tbl>
    <w:p>
      <w:pPr>
        <w:snapToGrid w:val="0"/>
        <w:spacing w:line="500" w:lineRule="exact"/>
        <w:rPr>
          <w:rFonts w:hint="eastAsia" w:ascii="仿宋" w:hAnsi="仿宋" w:eastAsia="仿宋" w:cs="仿宋"/>
          <w:color w:val="auto"/>
          <w:sz w:val="28"/>
          <w:szCs w:val="28"/>
          <w:highlight w:val="none"/>
        </w:rPr>
      </w:pPr>
    </w:p>
    <w:p>
      <w:pPr>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注：1.投标人应完整填写本表。</w:t>
      </w:r>
    </w:p>
    <w:p>
      <w:pPr>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2.该表可扩展。</w:t>
      </w:r>
    </w:p>
    <w:p>
      <w:pPr>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投标人名称（公章）或自然人签署：</w:t>
      </w:r>
    </w:p>
    <w:p>
      <w:pPr>
        <w:spacing w:line="360" w:lineRule="auto"/>
        <w:ind w:right="480" w:firstLine="6160" w:firstLineChars="2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pPr>
        <w:snapToGrid w:val="0"/>
        <w:spacing w:line="360" w:lineRule="auto"/>
        <w:ind w:firstLine="560" w:firstLineChars="200"/>
        <w:rPr>
          <w:rFonts w:hint="eastAsia" w:ascii="仿宋" w:hAnsi="仿宋" w:eastAsia="仿宋" w:cs="仿宋"/>
          <w:color w:val="auto"/>
          <w:sz w:val="28"/>
          <w:szCs w:val="28"/>
          <w:highlight w:val="none"/>
          <w:bdr w:val="single" w:color="auto" w:sz="4" w:space="0"/>
        </w:rPr>
        <w:sectPr>
          <w:pgSz w:w="11907" w:h="16840"/>
          <w:pgMar w:top="1134" w:right="1191" w:bottom="1134" w:left="1304" w:header="851" w:footer="992" w:gutter="0"/>
          <w:cols w:space="720" w:num="1"/>
          <w:docGrid w:linePitch="380" w:charSpace="-5735"/>
        </w:sectPr>
      </w:pPr>
    </w:p>
    <w:p>
      <w:pPr>
        <w:pStyle w:val="4"/>
        <w:adjustRightInd w:val="0"/>
        <w:snapToGrid w:val="0"/>
        <w:spacing w:before="0" w:after="0" w:line="400" w:lineRule="exact"/>
        <w:ind w:firstLine="562" w:firstLineChars="200"/>
        <w:outlineLvl w:val="0"/>
        <w:rPr>
          <w:rFonts w:hint="eastAsia" w:ascii="仿宋" w:hAnsi="仿宋" w:eastAsia="仿宋" w:cs="仿宋"/>
          <w:color w:val="auto"/>
          <w:sz w:val="28"/>
          <w:szCs w:val="28"/>
          <w:highlight w:val="none"/>
        </w:rPr>
      </w:pPr>
      <w:bookmarkStart w:id="304" w:name="_Toc106034809"/>
      <w:bookmarkStart w:id="305" w:name="_Toc22655"/>
      <w:bookmarkStart w:id="306" w:name="_Toc313888361"/>
      <w:bookmarkStart w:id="307" w:name="_Toc23698"/>
      <w:bookmarkStart w:id="308" w:name="_Toc4419"/>
      <w:bookmarkStart w:id="309" w:name="_Toc65660380"/>
      <w:bookmarkStart w:id="310" w:name="_Toc21781"/>
      <w:bookmarkStart w:id="311" w:name="_Toc14073"/>
      <w:bookmarkStart w:id="312" w:name="_Toc313008357"/>
      <w:bookmarkStart w:id="313" w:name="_Toc26085"/>
      <w:bookmarkStart w:id="314" w:name="_Toc342913420"/>
      <w:r>
        <w:rPr>
          <w:rFonts w:hint="eastAsia" w:ascii="仿宋" w:hAnsi="仿宋" w:eastAsia="仿宋" w:cs="仿宋"/>
          <w:color w:val="auto"/>
          <w:sz w:val="28"/>
          <w:szCs w:val="28"/>
          <w:highlight w:val="none"/>
        </w:rPr>
        <w:t>二、技术（质量）部分</w:t>
      </w:r>
      <w:bookmarkEnd w:id="304"/>
      <w:bookmarkEnd w:id="305"/>
      <w:bookmarkEnd w:id="306"/>
      <w:bookmarkEnd w:id="307"/>
      <w:bookmarkEnd w:id="308"/>
      <w:bookmarkEnd w:id="309"/>
      <w:bookmarkEnd w:id="310"/>
      <w:bookmarkEnd w:id="311"/>
      <w:bookmarkEnd w:id="312"/>
      <w:bookmarkEnd w:id="313"/>
      <w:bookmarkEnd w:id="314"/>
    </w:p>
    <w:p>
      <w:pPr>
        <w:spacing w:line="400" w:lineRule="exact"/>
        <w:ind w:firstLine="560" w:firstLineChars="200"/>
        <w:outlineLvl w:val="1"/>
        <w:rPr>
          <w:rFonts w:hint="eastAsia" w:ascii="仿宋" w:hAnsi="仿宋" w:eastAsia="仿宋" w:cs="仿宋"/>
          <w:color w:val="auto"/>
          <w:sz w:val="28"/>
          <w:szCs w:val="28"/>
          <w:highlight w:val="none"/>
        </w:rPr>
      </w:pPr>
      <w:bookmarkStart w:id="315" w:name="_Toc29259"/>
      <w:bookmarkStart w:id="316" w:name="_Toc19785"/>
      <w:bookmarkStart w:id="317" w:name="_Toc7188"/>
      <w:r>
        <w:rPr>
          <w:rFonts w:hint="eastAsia" w:ascii="仿宋" w:hAnsi="仿宋" w:eastAsia="仿宋" w:cs="仿宋"/>
          <w:color w:val="auto"/>
          <w:sz w:val="28"/>
          <w:szCs w:val="28"/>
          <w:highlight w:val="none"/>
        </w:rPr>
        <w:t>（一）技术（质量）响应偏离表</w:t>
      </w:r>
      <w:bookmarkEnd w:id="315"/>
      <w:bookmarkEnd w:id="316"/>
      <w:bookmarkEnd w:id="317"/>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询比项目名称：</w:t>
      </w:r>
    </w:p>
    <w:tbl>
      <w:tblPr>
        <w:tblStyle w:val="31"/>
        <w:tblW w:w="9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hint="eastAsia" w:ascii="仿宋" w:hAnsi="仿宋" w:eastAsia="仿宋" w:cs="仿宋"/>
                <w:b/>
                <w:color w:val="auto"/>
                <w:sz w:val="28"/>
                <w:szCs w:val="28"/>
                <w:highlight w:val="none"/>
              </w:rPr>
            </w:pPr>
            <w:bookmarkStart w:id="318" w:name="_Toc9772"/>
            <w:bookmarkStart w:id="319" w:name="_Toc12247"/>
            <w:bookmarkStart w:id="320" w:name="_Toc20327"/>
            <w:r>
              <w:rPr>
                <w:rFonts w:hint="eastAsia" w:ascii="仿宋" w:hAnsi="仿宋" w:eastAsia="仿宋" w:cs="仿宋"/>
                <w:b/>
                <w:color w:val="auto"/>
                <w:sz w:val="28"/>
                <w:szCs w:val="28"/>
                <w:highlight w:val="none"/>
              </w:rPr>
              <w:t>序号</w:t>
            </w:r>
            <w:bookmarkEnd w:id="318"/>
            <w:bookmarkEnd w:id="319"/>
            <w:bookmarkEnd w:id="320"/>
          </w:p>
        </w:tc>
        <w:tc>
          <w:tcPr>
            <w:tcW w:w="2844" w:type="dxa"/>
            <w:vAlign w:val="center"/>
          </w:tcPr>
          <w:p>
            <w:pPr>
              <w:tabs>
                <w:tab w:val="left" w:pos="6300"/>
              </w:tabs>
              <w:snapToGrid w:val="0"/>
              <w:jc w:val="center"/>
              <w:outlineLvl w:val="0"/>
              <w:rPr>
                <w:rFonts w:hint="eastAsia" w:ascii="仿宋" w:hAnsi="仿宋" w:eastAsia="仿宋" w:cs="仿宋"/>
                <w:b/>
                <w:color w:val="auto"/>
                <w:sz w:val="28"/>
                <w:szCs w:val="28"/>
                <w:highlight w:val="none"/>
              </w:rPr>
            </w:pPr>
            <w:bookmarkStart w:id="321" w:name="_Toc16126"/>
            <w:bookmarkStart w:id="322" w:name="_Toc21812"/>
            <w:bookmarkStart w:id="323" w:name="_Toc5255"/>
            <w:r>
              <w:rPr>
                <w:rFonts w:hint="eastAsia" w:ascii="仿宋" w:hAnsi="仿宋" w:eastAsia="仿宋" w:cs="仿宋"/>
                <w:b/>
                <w:color w:val="auto"/>
                <w:sz w:val="28"/>
                <w:szCs w:val="28"/>
                <w:highlight w:val="none"/>
              </w:rPr>
              <w:t>采购需求</w:t>
            </w:r>
            <w:bookmarkEnd w:id="321"/>
            <w:bookmarkEnd w:id="322"/>
            <w:bookmarkEnd w:id="323"/>
          </w:p>
        </w:tc>
        <w:tc>
          <w:tcPr>
            <w:tcW w:w="2952" w:type="dxa"/>
            <w:vAlign w:val="center"/>
          </w:tcPr>
          <w:p>
            <w:pPr>
              <w:tabs>
                <w:tab w:val="left" w:pos="6300"/>
              </w:tabs>
              <w:snapToGrid w:val="0"/>
              <w:jc w:val="center"/>
              <w:outlineLvl w:val="0"/>
              <w:rPr>
                <w:rFonts w:hint="eastAsia" w:ascii="仿宋" w:hAnsi="仿宋" w:eastAsia="仿宋" w:cs="仿宋"/>
                <w:b/>
                <w:color w:val="auto"/>
                <w:sz w:val="28"/>
                <w:szCs w:val="28"/>
                <w:highlight w:val="none"/>
              </w:rPr>
            </w:pPr>
            <w:bookmarkStart w:id="324" w:name="_Toc15616"/>
            <w:bookmarkStart w:id="325" w:name="_Toc32701"/>
            <w:bookmarkStart w:id="326" w:name="_Toc10909"/>
            <w:r>
              <w:rPr>
                <w:rFonts w:hint="eastAsia" w:ascii="仿宋" w:hAnsi="仿宋" w:eastAsia="仿宋" w:cs="仿宋"/>
                <w:b/>
                <w:color w:val="auto"/>
                <w:sz w:val="28"/>
                <w:szCs w:val="28"/>
                <w:highlight w:val="none"/>
              </w:rPr>
              <w:t>响应情况</w:t>
            </w:r>
            <w:bookmarkEnd w:id="324"/>
            <w:bookmarkEnd w:id="325"/>
            <w:bookmarkEnd w:id="326"/>
          </w:p>
        </w:tc>
        <w:tc>
          <w:tcPr>
            <w:tcW w:w="2212" w:type="dxa"/>
            <w:vAlign w:val="center"/>
          </w:tcPr>
          <w:p>
            <w:pPr>
              <w:tabs>
                <w:tab w:val="left" w:pos="6300"/>
              </w:tabs>
              <w:snapToGrid w:val="0"/>
              <w:jc w:val="center"/>
              <w:outlineLvl w:val="0"/>
              <w:rPr>
                <w:rFonts w:hint="eastAsia" w:ascii="仿宋" w:hAnsi="仿宋" w:eastAsia="仿宋" w:cs="仿宋"/>
                <w:b/>
                <w:color w:val="auto"/>
                <w:sz w:val="28"/>
                <w:szCs w:val="28"/>
                <w:highlight w:val="none"/>
              </w:rPr>
            </w:pPr>
            <w:bookmarkStart w:id="327" w:name="_Toc24201"/>
            <w:bookmarkStart w:id="328" w:name="_Toc25490"/>
            <w:bookmarkStart w:id="329" w:name="_Toc4296"/>
            <w:r>
              <w:rPr>
                <w:rFonts w:hint="eastAsia" w:ascii="仿宋" w:hAnsi="仿宋" w:eastAsia="仿宋" w:cs="仿宋"/>
                <w:b/>
                <w:color w:val="auto"/>
                <w:sz w:val="28"/>
                <w:szCs w:val="28"/>
                <w:highlight w:val="none"/>
              </w:rPr>
              <w:t>差异说明</w:t>
            </w:r>
            <w:bookmarkEnd w:id="327"/>
            <w:bookmarkEnd w:id="328"/>
            <w:bookmarkEnd w:id="3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84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952" w:type="dxa"/>
            <w:vAlign w:val="center"/>
          </w:tcPr>
          <w:p>
            <w:pPr>
              <w:tabs>
                <w:tab w:val="left" w:pos="6300"/>
              </w:tabs>
              <w:snapToGrid w:val="0"/>
              <w:jc w:val="center"/>
              <w:outlineLvl w:val="0"/>
              <w:rPr>
                <w:rFonts w:hint="eastAsia" w:ascii="仿宋" w:hAnsi="仿宋" w:eastAsia="仿宋" w:cs="仿宋"/>
                <w:color w:val="auto"/>
                <w:sz w:val="28"/>
                <w:szCs w:val="28"/>
                <w:highlight w:val="none"/>
              </w:rPr>
            </w:pPr>
            <w:bookmarkStart w:id="330" w:name="_Toc31607"/>
            <w:bookmarkStart w:id="331" w:name="_Toc12365"/>
            <w:bookmarkStart w:id="332" w:name="_Toc11031"/>
            <w:r>
              <w:rPr>
                <w:rFonts w:hint="eastAsia" w:ascii="仿宋" w:hAnsi="仿宋" w:eastAsia="仿宋" w:cs="仿宋"/>
                <w:color w:val="auto"/>
                <w:sz w:val="28"/>
                <w:szCs w:val="28"/>
                <w:highlight w:val="none"/>
              </w:rPr>
              <w:t>提醒：请注明技术参数或具体内容</w:t>
            </w:r>
            <w:r>
              <w:rPr>
                <w:rFonts w:hint="eastAsia" w:ascii="仿宋" w:hAnsi="仿宋" w:eastAsia="仿宋" w:cs="仿宋"/>
                <w:color w:val="auto"/>
                <w:sz w:val="28"/>
                <w:szCs w:val="28"/>
                <w:highlight w:val="none"/>
                <w:lang w:eastAsia="zh-CN"/>
              </w:rPr>
              <w:t>一一对应</w:t>
            </w:r>
            <w:r>
              <w:rPr>
                <w:rFonts w:hint="eastAsia" w:ascii="仿宋" w:hAnsi="仿宋" w:eastAsia="仿宋" w:cs="仿宋"/>
                <w:color w:val="auto"/>
                <w:sz w:val="28"/>
                <w:szCs w:val="28"/>
                <w:highlight w:val="none"/>
              </w:rPr>
              <w:t>以及响应文件中技术参数或具体内容的位置（页码）</w:t>
            </w:r>
            <w:bookmarkEnd w:id="330"/>
            <w:bookmarkEnd w:id="331"/>
            <w:bookmarkEnd w:id="332"/>
          </w:p>
        </w:tc>
        <w:tc>
          <w:tcPr>
            <w:tcW w:w="22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84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95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2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84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95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2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84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95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2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84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95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2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84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95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2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84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95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2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84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95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2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84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95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2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84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95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2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bl>
    <w:p>
      <w:pPr>
        <w:spacing w:line="500" w:lineRule="exact"/>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                      法定代表人（或其授权代表）或自然人：</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pacing w:line="500" w:lineRule="exact"/>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（投标人公章）                               （签署或盖章）</w:t>
      </w: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tabs>
          <w:tab w:val="left" w:pos="6300"/>
        </w:tabs>
        <w:snapToGrid w:val="0"/>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pPr>
        <w:tabs>
          <w:tab w:val="left" w:pos="6300"/>
        </w:tabs>
        <w:snapToGrid w:val="0"/>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1.本表即为对本项目“第二篇  询比项目技术（质量）需求”中所列条款进行比较和响应；</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2.本表可扩展。</w:t>
      </w:r>
    </w:p>
    <w:p>
      <w:pPr>
        <w:tabs>
          <w:tab w:val="left" w:pos="6300"/>
        </w:tabs>
        <w:snapToGrid w:val="0"/>
        <w:spacing w:line="500" w:lineRule="exact"/>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333" w:name="_Toc27717"/>
      <w:bookmarkStart w:id="334" w:name="_Toc32158"/>
      <w:bookmarkStart w:id="335" w:name="_Toc106034810"/>
      <w:bookmarkStart w:id="336" w:name="_Toc10385"/>
      <w:bookmarkStart w:id="337" w:name="_Toc16839"/>
      <w:bookmarkStart w:id="338" w:name="_Toc32339"/>
      <w:bookmarkStart w:id="339" w:name="_Toc65660381"/>
      <w:bookmarkStart w:id="340" w:name="_Toc6800"/>
      <w:bookmarkStart w:id="341" w:name="_Toc342913421"/>
      <w:bookmarkStart w:id="342" w:name="_Toc313008358"/>
      <w:bookmarkStart w:id="343" w:name="_Toc313888362"/>
      <w:r>
        <w:rPr>
          <w:rFonts w:hint="eastAsia" w:ascii="仿宋" w:hAnsi="仿宋" w:eastAsia="仿宋" w:cs="仿宋"/>
          <w:b/>
          <w:bCs/>
          <w:color w:val="auto"/>
          <w:sz w:val="28"/>
          <w:szCs w:val="28"/>
          <w:highlight w:val="none"/>
        </w:rPr>
        <w:t>三、服务部分</w:t>
      </w:r>
      <w:bookmarkEnd w:id="333"/>
      <w:bookmarkEnd w:id="334"/>
      <w:bookmarkEnd w:id="335"/>
      <w:bookmarkEnd w:id="336"/>
      <w:bookmarkEnd w:id="337"/>
      <w:bookmarkEnd w:id="338"/>
      <w:bookmarkEnd w:id="339"/>
      <w:bookmarkEnd w:id="340"/>
    </w:p>
    <w:p>
      <w:pPr>
        <w:spacing w:line="400" w:lineRule="exact"/>
        <w:ind w:firstLine="560" w:firstLineChars="200"/>
        <w:outlineLvl w:val="1"/>
        <w:rPr>
          <w:rFonts w:hint="eastAsia" w:ascii="仿宋" w:hAnsi="仿宋" w:eastAsia="仿宋" w:cs="仿宋"/>
          <w:color w:val="auto"/>
          <w:sz w:val="28"/>
          <w:szCs w:val="28"/>
          <w:highlight w:val="none"/>
        </w:rPr>
      </w:pPr>
      <w:bookmarkStart w:id="344" w:name="_Toc605"/>
      <w:bookmarkStart w:id="345" w:name="_Toc23176"/>
      <w:bookmarkStart w:id="346" w:name="_Toc27660"/>
      <w:r>
        <w:rPr>
          <w:rFonts w:hint="eastAsia" w:ascii="仿宋" w:hAnsi="仿宋" w:eastAsia="仿宋" w:cs="仿宋"/>
          <w:color w:val="auto"/>
          <w:sz w:val="28"/>
          <w:szCs w:val="28"/>
          <w:highlight w:val="none"/>
        </w:rPr>
        <w:t>（一）服务响应偏离表</w:t>
      </w:r>
      <w:bookmarkEnd w:id="344"/>
      <w:bookmarkEnd w:id="345"/>
      <w:bookmarkEnd w:id="346"/>
    </w:p>
    <w:p>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询比项目名称：</w:t>
      </w:r>
    </w:p>
    <w:tbl>
      <w:tblPr>
        <w:tblStyle w:val="31"/>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hint="eastAsia" w:ascii="仿宋" w:hAnsi="仿宋" w:eastAsia="仿宋" w:cs="仿宋"/>
                <w:b/>
                <w:color w:val="auto"/>
                <w:sz w:val="28"/>
                <w:szCs w:val="28"/>
                <w:highlight w:val="none"/>
              </w:rPr>
            </w:pPr>
            <w:bookmarkStart w:id="347" w:name="_Toc5919"/>
            <w:bookmarkStart w:id="348" w:name="_Toc3309"/>
            <w:bookmarkStart w:id="349" w:name="_Toc9530"/>
            <w:r>
              <w:rPr>
                <w:rFonts w:hint="eastAsia" w:ascii="仿宋" w:hAnsi="仿宋" w:eastAsia="仿宋" w:cs="仿宋"/>
                <w:b/>
                <w:color w:val="auto"/>
                <w:sz w:val="28"/>
                <w:szCs w:val="28"/>
                <w:highlight w:val="none"/>
              </w:rPr>
              <w:t>序号</w:t>
            </w:r>
            <w:bookmarkEnd w:id="347"/>
            <w:bookmarkEnd w:id="348"/>
            <w:bookmarkEnd w:id="349"/>
          </w:p>
        </w:tc>
        <w:tc>
          <w:tcPr>
            <w:tcW w:w="3184" w:type="dxa"/>
            <w:vAlign w:val="center"/>
          </w:tcPr>
          <w:p>
            <w:pPr>
              <w:tabs>
                <w:tab w:val="left" w:pos="6300"/>
              </w:tabs>
              <w:snapToGrid w:val="0"/>
              <w:jc w:val="center"/>
              <w:outlineLvl w:val="0"/>
              <w:rPr>
                <w:rFonts w:hint="eastAsia" w:ascii="仿宋" w:hAnsi="仿宋" w:eastAsia="仿宋" w:cs="仿宋"/>
                <w:b/>
                <w:color w:val="auto"/>
                <w:sz w:val="28"/>
                <w:szCs w:val="28"/>
                <w:highlight w:val="none"/>
              </w:rPr>
            </w:pPr>
            <w:bookmarkStart w:id="350" w:name="_Toc17039"/>
            <w:bookmarkStart w:id="351" w:name="_Toc16254"/>
            <w:bookmarkStart w:id="352" w:name="_Toc26488"/>
            <w:r>
              <w:rPr>
                <w:rFonts w:hint="eastAsia" w:ascii="仿宋" w:hAnsi="仿宋" w:eastAsia="仿宋" w:cs="仿宋"/>
                <w:b/>
                <w:color w:val="auto"/>
                <w:sz w:val="28"/>
                <w:szCs w:val="28"/>
                <w:highlight w:val="none"/>
              </w:rPr>
              <w:t>采购需求</w:t>
            </w:r>
            <w:bookmarkEnd w:id="350"/>
            <w:bookmarkEnd w:id="351"/>
            <w:bookmarkEnd w:id="352"/>
          </w:p>
        </w:tc>
        <w:tc>
          <w:tcPr>
            <w:tcW w:w="2438" w:type="dxa"/>
            <w:vAlign w:val="center"/>
          </w:tcPr>
          <w:p>
            <w:pPr>
              <w:tabs>
                <w:tab w:val="left" w:pos="6300"/>
              </w:tabs>
              <w:snapToGrid w:val="0"/>
              <w:jc w:val="center"/>
              <w:outlineLvl w:val="0"/>
              <w:rPr>
                <w:rFonts w:hint="eastAsia" w:ascii="仿宋" w:hAnsi="仿宋" w:eastAsia="仿宋" w:cs="仿宋"/>
                <w:b/>
                <w:color w:val="auto"/>
                <w:sz w:val="28"/>
                <w:szCs w:val="28"/>
                <w:highlight w:val="none"/>
              </w:rPr>
            </w:pPr>
            <w:bookmarkStart w:id="353" w:name="_Toc22063"/>
            <w:bookmarkStart w:id="354" w:name="_Toc10397"/>
            <w:bookmarkStart w:id="355" w:name="_Toc21137"/>
            <w:r>
              <w:rPr>
                <w:rFonts w:hint="eastAsia" w:ascii="仿宋" w:hAnsi="仿宋" w:eastAsia="仿宋" w:cs="仿宋"/>
                <w:b/>
                <w:color w:val="auto"/>
                <w:sz w:val="28"/>
                <w:szCs w:val="28"/>
                <w:highlight w:val="none"/>
              </w:rPr>
              <w:t>响应情况</w:t>
            </w:r>
            <w:bookmarkEnd w:id="353"/>
            <w:bookmarkEnd w:id="354"/>
            <w:bookmarkEnd w:id="355"/>
          </w:p>
        </w:tc>
        <w:tc>
          <w:tcPr>
            <w:tcW w:w="2359" w:type="dxa"/>
            <w:vAlign w:val="center"/>
          </w:tcPr>
          <w:p>
            <w:pPr>
              <w:tabs>
                <w:tab w:val="left" w:pos="6300"/>
              </w:tabs>
              <w:snapToGrid w:val="0"/>
              <w:jc w:val="center"/>
              <w:outlineLvl w:val="0"/>
              <w:rPr>
                <w:rFonts w:hint="eastAsia" w:ascii="仿宋" w:hAnsi="仿宋" w:eastAsia="仿宋" w:cs="仿宋"/>
                <w:b/>
                <w:color w:val="auto"/>
                <w:sz w:val="28"/>
                <w:szCs w:val="28"/>
                <w:highlight w:val="none"/>
              </w:rPr>
            </w:pPr>
            <w:bookmarkStart w:id="356" w:name="_Toc2502"/>
            <w:bookmarkStart w:id="357" w:name="_Toc2020"/>
            <w:bookmarkStart w:id="358" w:name="_Toc27007"/>
            <w:r>
              <w:rPr>
                <w:rFonts w:hint="eastAsia" w:ascii="仿宋" w:hAnsi="仿宋" w:eastAsia="仿宋" w:cs="仿宋"/>
                <w:b/>
                <w:color w:val="auto"/>
                <w:sz w:val="28"/>
                <w:szCs w:val="28"/>
                <w:highlight w:val="none"/>
              </w:rPr>
              <w:t>差异说明</w:t>
            </w:r>
            <w:bookmarkEnd w:id="356"/>
            <w:bookmarkEnd w:id="357"/>
            <w:bookmarkEnd w:id="3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318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438" w:type="dxa"/>
            <w:vAlign w:val="center"/>
          </w:tcPr>
          <w:p>
            <w:pPr>
              <w:tabs>
                <w:tab w:val="left" w:pos="6300"/>
              </w:tabs>
              <w:snapToGrid w:val="0"/>
              <w:outlineLvl w:val="0"/>
              <w:rPr>
                <w:rFonts w:hint="eastAsia" w:ascii="仿宋" w:hAnsi="仿宋" w:eastAsia="仿宋" w:cs="仿宋"/>
                <w:color w:val="auto"/>
                <w:sz w:val="28"/>
                <w:szCs w:val="28"/>
                <w:highlight w:val="none"/>
              </w:rPr>
            </w:pPr>
            <w:bookmarkStart w:id="359" w:name="_Toc24229"/>
            <w:bookmarkStart w:id="360" w:name="_Toc30215"/>
            <w:bookmarkStart w:id="361" w:name="_Toc5096"/>
            <w:r>
              <w:rPr>
                <w:rFonts w:hint="eastAsia" w:ascii="仿宋" w:hAnsi="仿宋" w:eastAsia="仿宋" w:cs="仿宋"/>
                <w:color w:val="auto"/>
                <w:sz w:val="28"/>
                <w:szCs w:val="28"/>
                <w:highlight w:val="none"/>
              </w:rPr>
              <w:t>提醒：请注明具体内容</w:t>
            </w:r>
            <w:r>
              <w:rPr>
                <w:rFonts w:hint="eastAsia" w:ascii="仿宋" w:hAnsi="仿宋" w:eastAsia="仿宋" w:cs="仿宋"/>
                <w:color w:val="auto"/>
                <w:sz w:val="28"/>
                <w:szCs w:val="28"/>
                <w:highlight w:val="none"/>
                <w:lang w:eastAsia="zh-CN"/>
              </w:rPr>
              <w:t>一一对应</w:t>
            </w:r>
            <w:r>
              <w:rPr>
                <w:rFonts w:hint="eastAsia" w:ascii="仿宋" w:hAnsi="仿宋" w:eastAsia="仿宋" w:cs="仿宋"/>
                <w:color w:val="auto"/>
                <w:sz w:val="28"/>
                <w:szCs w:val="28"/>
                <w:highlight w:val="none"/>
              </w:rPr>
              <w:t>以及响应文件中具体内容的位置（页码）</w:t>
            </w:r>
            <w:bookmarkEnd w:id="359"/>
            <w:bookmarkEnd w:id="360"/>
            <w:bookmarkEnd w:id="361"/>
          </w:p>
        </w:tc>
        <w:tc>
          <w:tcPr>
            <w:tcW w:w="2359"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318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43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359"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318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43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359"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318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43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359"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318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43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359"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3184"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438"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c>
          <w:tcPr>
            <w:tcW w:w="2359" w:type="dxa"/>
            <w:vAlign w:val="center"/>
          </w:tcPr>
          <w:p>
            <w:pPr>
              <w:tabs>
                <w:tab w:val="left" w:pos="6300"/>
              </w:tabs>
              <w:snapToGrid w:val="0"/>
              <w:jc w:val="center"/>
              <w:outlineLvl w:val="9"/>
              <w:rPr>
                <w:rFonts w:hint="eastAsia" w:ascii="仿宋" w:hAnsi="仿宋" w:eastAsia="仿宋" w:cs="仿宋"/>
                <w:color w:val="auto"/>
                <w:sz w:val="28"/>
                <w:szCs w:val="28"/>
                <w:highlight w:val="none"/>
              </w:rPr>
            </w:pPr>
          </w:p>
        </w:tc>
      </w:tr>
    </w:tbl>
    <w:p>
      <w:pPr>
        <w:spacing w:line="500" w:lineRule="exact"/>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                      法定代表人（或其授权代表）或自然人：</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公章）                                  （签署或盖章）</w:t>
      </w: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tabs>
          <w:tab w:val="left" w:pos="6300"/>
        </w:tabs>
        <w:snapToGrid w:val="0"/>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pPr>
        <w:tabs>
          <w:tab w:val="left" w:pos="6300"/>
        </w:tabs>
        <w:snapToGrid w:val="0"/>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1.本表即为对本项目“第</w:t>
      </w: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篇  询比项目服务需求”中所列条款进行比较和响应；</w:t>
      </w:r>
    </w:p>
    <w:p>
      <w:pPr>
        <w:tabs>
          <w:tab w:val="left" w:pos="6300"/>
        </w:tabs>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2.本表可扩展。</w:t>
      </w:r>
    </w:p>
    <w:p>
      <w:pPr>
        <w:tabs>
          <w:tab w:val="left" w:pos="6300"/>
        </w:tabs>
        <w:snapToGrid w:val="0"/>
        <w:spacing w:line="480" w:lineRule="exact"/>
        <w:ind w:firstLine="560" w:firstLineChars="200"/>
        <w:rPr>
          <w:rFonts w:hint="eastAsia" w:ascii="仿宋" w:hAnsi="仿宋" w:eastAsia="仿宋" w:cs="仿宋"/>
          <w:color w:val="auto"/>
          <w:sz w:val="28"/>
          <w:szCs w:val="28"/>
          <w:highlight w:val="none"/>
        </w:rPr>
      </w:pPr>
    </w:p>
    <w:p>
      <w:pPr>
        <w:tabs>
          <w:tab w:val="left" w:pos="6300"/>
        </w:tabs>
        <w:snapToGrid w:val="0"/>
        <w:spacing w:line="480" w:lineRule="exact"/>
        <w:rPr>
          <w:rFonts w:hint="eastAsia" w:ascii="仿宋" w:hAnsi="仿宋" w:eastAsia="仿宋" w:cs="仿宋"/>
          <w:color w:val="auto"/>
          <w:sz w:val="28"/>
          <w:szCs w:val="28"/>
          <w:highlight w:val="none"/>
        </w:rPr>
      </w:pPr>
    </w:p>
    <w:p>
      <w:pPr>
        <w:tabs>
          <w:tab w:val="left" w:pos="6300"/>
        </w:tabs>
        <w:snapToGrid w:val="0"/>
        <w:spacing w:line="480" w:lineRule="exact"/>
        <w:outlineLvl w:val="1"/>
        <w:rPr>
          <w:rFonts w:hint="eastAsia" w:ascii="仿宋" w:hAnsi="仿宋" w:eastAsia="仿宋" w:cs="仿宋"/>
          <w:color w:val="auto"/>
          <w:sz w:val="28"/>
          <w:szCs w:val="28"/>
          <w:highlight w:val="none"/>
        </w:rPr>
      </w:pPr>
      <w:bookmarkStart w:id="362" w:name="_Toc30193"/>
      <w:bookmarkStart w:id="363" w:name="_Toc9843"/>
      <w:bookmarkStart w:id="364" w:name="_Toc22290"/>
      <w:r>
        <w:rPr>
          <w:rFonts w:hint="eastAsia" w:ascii="仿宋" w:hAnsi="仿宋" w:eastAsia="仿宋" w:cs="仿宋"/>
          <w:color w:val="auto"/>
          <w:sz w:val="28"/>
          <w:szCs w:val="28"/>
          <w:highlight w:val="none"/>
        </w:rPr>
        <w:t>（二）其它优惠服务承诺（格式自定）</w:t>
      </w:r>
      <w:bookmarkEnd w:id="362"/>
      <w:bookmarkEnd w:id="363"/>
      <w:bookmarkEnd w:id="364"/>
    </w:p>
    <w:p>
      <w:pPr>
        <w:tabs>
          <w:tab w:val="left" w:pos="6300"/>
        </w:tabs>
        <w:snapToGrid w:val="0"/>
        <w:spacing w:line="480" w:lineRule="exact"/>
        <w:ind w:firstLine="560" w:firstLineChars="200"/>
        <w:rPr>
          <w:rFonts w:hint="eastAsia" w:ascii="仿宋" w:hAnsi="仿宋" w:eastAsia="仿宋" w:cs="仿宋"/>
          <w:color w:val="auto"/>
          <w:sz w:val="28"/>
          <w:szCs w:val="28"/>
          <w:highlight w:val="none"/>
        </w:rPr>
      </w:pPr>
    </w:p>
    <w:p>
      <w:pPr>
        <w:pStyle w:val="4"/>
        <w:adjustRightInd w:val="0"/>
        <w:snapToGrid w:val="0"/>
        <w:spacing w:before="0" w:after="0" w:line="400" w:lineRule="exact"/>
        <w:ind w:firstLine="562"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365" w:name="_Toc106034811"/>
      <w:bookmarkStart w:id="366" w:name="_Toc20162"/>
      <w:bookmarkStart w:id="367" w:name="_Toc31690"/>
      <w:bookmarkStart w:id="368" w:name="_Toc891"/>
      <w:bookmarkStart w:id="369" w:name="_Toc24439"/>
      <w:bookmarkStart w:id="370" w:name="_Toc2082"/>
      <w:bookmarkStart w:id="371" w:name="_Toc21793"/>
      <w:bookmarkStart w:id="372" w:name="_Toc65660382"/>
      <w:r>
        <w:rPr>
          <w:rFonts w:hint="eastAsia" w:ascii="仿宋" w:hAnsi="仿宋" w:eastAsia="仿宋" w:cs="仿宋"/>
          <w:color w:val="auto"/>
          <w:sz w:val="28"/>
          <w:szCs w:val="28"/>
          <w:highlight w:val="none"/>
        </w:rPr>
        <w:t>四、</w:t>
      </w:r>
      <w:bookmarkEnd w:id="341"/>
      <w:bookmarkEnd w:id="342"/>
      <w:bookmarkEnd w:id="343"/>
      <w:r>
        <w:rPr>
          <w:rFonts w:hint="eastAsia" w:ascii="仿宋" w:hAnsi="仿宋" w:eastAsia="仿宋" w:cs="仿宋"/>
          <w:color w:val="auto"/>
          <w:sz w:val="28"/>
          <w:szCs w:val="28"/>
          <w:highlight w:val="none"/>
        </w:rPr>
        <w:t>资格条件及其他</w:t>
      </w:r>
      <w:bookmarkEnd w:id="365"/>
      <w:bookmarkEnd w:id="366"/>
      <w:bookmarkEnd w:id="367"/>
      <w:bookmarkEnd w:id="368"/>
      <w:bookmarkEnd w:id="369"/>
      <w:bookmarkEnd w:id="370"/>
      <w:bookmarkEnd w:id="371"/>
      <w:bookmarkEnd w:id="372"/>
    </w:p>
    <w:p>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widowControl/>
        <w:spacing w:line="400" w:lineRule="exact"/>
        <w:ind w:firstLine="560" w:firstLineChars="200"/>
        <w:jc w:val="left"/>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373" w:name="_Toc307"/>
      <w:bookmarkStart w:id="374" w:name="_Toc9557"/>
      <w:bookmarkStart w:id="375" w:name="_Toc689"/>
      <w:r>
        <w:rPr>
          <w:rFonts w:hint="eastAsia" w:ascii="仿宋" w:hAnsi="仿宋" w:eastAsia="仿宋" w:cs="仿宋"/>
          <w:color w:val="auto"/>
          <w:sz w:val="28"/>
          <w:szCs w:val="28"/>
          <w:highlight w:val="none"/>
        </w:rPr>
        <w:t>（二）法定代表人身份证明书（格式）</w:t>
      </w:r>
      <w:bookmarkEnd w:id="373"/>
      <w:bookmarkEnd w:id="374"/>
      <w:bookmarkEnd w:id="375"/>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询比项目名称：</w:t>
      </w:r>
      <w:r>
        <w:rPr>
          <w:rFonts w:hint="eastAsia" w:ascii="仿宋" w:hAnsi="仿宋" w:eastAsia="仿宋" w:cs="仿宋"/>
          <w:color w:val="auto"/>
          <w:sz w:val="28"/>
          <w:szCs w:val="28"/>
          <w:highlight w:val="none"/>
          <w:u w:val="single"/>
        </w:rPr>
        <w:t xml:space="preserve">                                                </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（采购人名称）：</w:t>
      </w: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（投标人名称）任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（职务名称）职务，是（投标人名称）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（投标人公章）</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（附：法定代表人身份证正反面复印件）</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widowControl/>
        <w:spacing w:line="400" w:lineRule="exact"/>
        <w:ind w:firstLine="560" w:firstLineChars="200"/>
        <w:jc w:val="left"/>
        <w:outlineLvl w:val="1"/>
        <w:rPr>
          <w:rFonts w:hint="eastAsia" w:ascii="仿宋" w:hAnsi="仿宋" w:eastAsia="仿宋" w:cs="仿宋"/>
          <w:color w:val="auto"/>
          <w:sz w:val="28"/>
          <w:szCs w:val="28"/>
          <w:highlight w:val="none"/>
        </w:rPr>
      </w:pPr>
      <w:bookmarkStart w:id="376" w:name="_Toc29097"/>
      <w:bookmarkStart w:id="377" w:name="_Toc18813"/>
      <w:bookmarkStart w:id="378" w:name="_Toc6540"/>
      <w:r>
        <w:rPr>
          <w:rFonts w:hint="eastAsia" w:ascii="仿宋" w:hAnsi="仿宋" w:eastAsia="仿宋" w:cs="仿宋"/>
          <w:color w:val="auto"/>
          <w:sz w:val="28"/>
          <w:szCs w:val="28"/>
          <w:highlight w:val="none"/>
        </w:rPr>
        <w:br w:type="column"/>
      </w:r>
      <w:r>
        <w:rPr>
          <w:rFonts w:hint="eastAsia" w:ascii="仿宋" w:hAnsi="仿宋" w:eastAsia="仿宋" w:cs="仿宋"/>
          <w:color w:val="auto"/>
          <w:sz w:val="28"/>
          <w:szCs w:val="28"/>
          <w:highlight w:val="none"/>
        </w:rPr>
        <w:t>（三）法定代表人授权委托书（格式）</w:t>
      </w:r>
      <w:bookmarkEnd w:id="376"/>
      <w:bookmarkEnd w:id="377"/>
      <w:bookmarkEnd w:id="378"/>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询比项目名称：</w:t>
      </w:r>
      <w:r>
        <w:rPr>
          <w:rFonts w:hint="eastAsia" w:ascii="仿宋" w:hAnsi="仿宋" w:eastAsia="仿宋" w:cs="仿宋"/>
          <w:color w:val="auto"/>
          <w:sz w:val="28"/>
          <w:szCs w:val="28"/>
          <w:highlight w:val="none"/>
          <w:u w:val="single"/>
        </w:rPr>
        <w:t xml:space="preserve">                                                </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（采购人名称）：</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（投标人法定代表人名称）是</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（投标人名称）的法定代表人，特授权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（被授权人姓名及身份证代码）代表我单位全权办理上述项目的报价、签约等具体工作，并签署全部有关文件、协议及合同。</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我单位对被授权人的签署负全部责任。</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                                投标人法定代表人：</w:t>
      </w: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（签署或盖章）                                （签署或盖章）</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（附：被授权人身份证正反面复印件）</w:t>
      </w:r>
    </w:p>
    <w:p>
      <w:pPr>
        <w:tabs>
          <w:tab w:val="left" w:pos="6300"/>
        </w:tabs>
        <w:snapToGrid w:val="0"/>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firstLine="570"/>
        <w:rPr>
          <w:rFonts w:hint="eastAsia" w:ascii="仿宋" w:hAnsi="仿宋" w:eastAsia="仿宋" w:cs="仿宋"/>
          <w:color w:val="auto"/>
          <w:sz w:val="28"/>
          <w:szCs w:val="28"/>
          <w:highlight w:val="none"/>
        </w:rPr>
      </w:pPr>
    </w:p>
    <w:p>
      <w:pPr>
        <w:tabs>
          <w:tab w:val="left" w:pos="6300"/>
        </w:tabs>
        <w:snapToGrid w:val="0"/>
        <w:spacing w:line="500" w:lineRule="exact"/>
        <w:ind w:right="480" w:firstLine="57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（投标人公章）</w:t>
      </w:r>
    </w:p>
    <w:p>
      <w:pPr>
        <w:tabs>
          <w:tab w:val="left" w:pos="6300"/>
        </w:tabs>
        <w:snapToGrid w:val="0"/>
        <w:spacing w:line="500" w:lineRule="exact"/>
        <w:ind w:right="480" w:firstLine="57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pPr>
        <w:tabs>
          <w:tab w:val="left" w:pos="6300"/>
        </w:tabs>
        <w:snapToGrid w:val="0"/>
        <w:spacing w:line="500" w:lineRule="exact"/>
        <w:ind w:right="480" w:firstLine="57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rPr>
      </w:pPr>
      <w:r>
        <w:rPr>
          <w:rFonts w:hint="eastAsia" w:ascii="仿宋" w:hAnsi="仿宋" w:eastAsia="仿宋" w:cs="仿宋"/>
          <w:color w:val="auto"/>
          <w:sz w:val="28"/>
          <w:szCs w:val="28"/>
          <w:highlight w:val="none"/>
        </w:rPr>
        <w:t>注：1.</w:t>
      </w:r>
      <w:r>
        <w:rPr>
          <w:rFonts w:hint="eastAsia" w:ascii="仿宋" w:hAnsi="仿宋" w:eastAsia="仿宋" w:cs="仿宋"/>
          <w:color w:val="auto"/>
          <w:sz w:val="28"/>
          <w:szCs w:val="28"/>
          <w:highlight w:val="none"/>
          <w:lang w:val="en-US" w:eastAsia="zh-CN"/>
        </w:rPr>
        <w:t>被授权人资质要求。</w:t>
      </w:r>
    </w:p>
    <w:p>
      <w:pPr>
        <w:tabs>
          <w:tab w:val="left" w:pos="6300"/>
        </w:tabs>
        <w:snapToGrid w:val="0"/>
        <w:spacing w:line="500" w:lineRule="exact"/>
        <w:ind w:right="480" w:firstLine="570"/>
        <w:jc w:val="left"/>
        <w:rPr>
          <w:rFonts w:hint="eastAsia"/>
        </w:rPr>
      </w:pPr>
      <w:r>
        <w:rPr>
          <w:rFonts w:hint="eastAsia" w:ascii="仿宋" w:hAnsi="仿宋" w:eastAsia="仿宋" w:cs="仿宋"/>
          <w:color w:val="auto"/>
          <w:sz w:val="28"/>
          <w:szCs w:val="28"/>
          <w:highlight w:val="none"/>
          <w:lang w:val="en-US" w:eastAsia="zh-CN"/>
        </w:rPr>
        <w:t xml:space="preserve">    2.</w:t>
      </w:r>
      <w:r>
        <w:rPr>
          <w:rFonts w:hint="eastAsia" w:ascii="仿宋" w:hAnsi="仿宋" w:eastAsia="仿宋" w:cs="仿宋"/>
          <w:color w:val="auto"/>
          <w:sz w:val="28"/>
          <w:szCs w:val="28"/>
          <w:highlight w:val="none"/>
        </w:rPr>
        <w:t>若为法定代表人办理并签署响应文件的，不提供此文件。</w:t>
      </w:r>
    </w:p>
    <w:p>
      <w:pPr>
        <w:widowControl/>
        <w:spacing w:line="400" w:lineRule="exact"/>
        <w:ind w:firstLine="560" w:firstLineChars="200"/>
        <w:jc w:val="left"/>
        <w:rPr>
          <w:rFonts w:hint="default" w:ascii="仿宋" w:hAnsi="仿宋" w:eastAsia="仿宋" w:cs="仿宋"/>
          <w:color w:val="auto"/>
          <w:sz w:val="28"/>
          <w:szCs w:val="28"/>
          <w:highlight w:val="none"/>
          <w:lang w:val="en-US" w:eastAsia="zh-CN"/>
        </w:rPr>
      </w:pPr>
    </w:p>
    <w:p>
      <w:pPr>
        <w:widowControl/>
        <w:spacing w:line="400" w:lineRule="exact"/>
        <w:ind w:firstLine="560" w:firstLineChars="200"/>
        <w:jc w:val="left"/>
        <w:outlineLvl w:val="1"/>
        <w:rPr>
          <w:rFonts w:hint="eastAsia" w:ascii="仿宋" w:hAnsi="仿宋" w:eastAsia="仿宋" w:cs="仿宋"/>
          <w:color w:val="auto"/>
          <w:sz w:val="28"/>
          <w:szCs w:val="28"/>
          <w:highlight w:val="none"/>
        </w:rPr>
      </w:pPr>
      <w:bookmarkStart w:id="379" w:name="_Toc20103"/>
      <w:bookmarkStart w:id="380" w:name="_Toc4200"/>
      <w:bookmarkStart w:id="381" w:name="_Toc782"/>
      <w:r>
        <w:rPr>
          <w:rFonts w:hint="eastAsia" w:ascii="仿宋" w:hAnsi="仿宋" w:eastAsia="仿宋" w:cs="仿宋"/>
          <w:color w:val="auto"/>
          <w:sz w:val="28"/>
          <w:szCs w:val="28"/>
          <w:highlight w:val="none"/>
        </w:rPr>
        <w:t>（四）基本资格条件承诺函（格式）</w:t>
      </w:r>
      <w:bookmarkEnd w:id="379"/>
      <w:bookmarkEnd w:id="380"/>
      <w:bookmarkEnd w:id="381"/>
    </w:p>
    <w:p>
      <w:pPr>
        <w:tabs>
          <w:tab w:val="left" w:pos="6300"/>
        </w:tabs>
        <w:snapToGrid w:val="0"/>
        <w:spacing w:line="500" w:lineRule="exact"/>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基本资格条件承诺函</w:t>
      </w:r>
    </w:p>
    <w:p>
      <w:pPr>
        <w:tabs>
          <w:tab w:val="left" w:pos="6300"/>
        </w:tabs>
        <w:snapToGrid w:val="0"/>
        <w:spacing w:line="530" w:lineRule="exact"/>
        <w:rPr>
          <w:rFonts w:hint="eastAsia" w:ascii="仿宋" w:hAnsi="仿宋" w:eastAsia="仿宋" w:cs="仿宋"/>
          <w:color w:val="auto"/>
          <w:sz w:val="28"/>
          <w:szCs w:val="28"/>
          <w:highlight w:val="none"/>
        </w:rPr>
      </w:pP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（采购人名称）：</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（投标人名称）郑重承诺：</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1.我方具有良好的商业信誉和健全的财务会计制度，具有履行合同所必需的设备和专业技术能力，具</w:t>
      </w:r>
      <w:r>
        <w:rPr>
          <w:rFonts w:hint="eastAsia" w:ascii="仿宋" w:hAnsi="仿宋" w:eastAsia="仿宋" w:cs="仿宋"/>
          <w:color w:val="auto"/>
          <w:sz w:val="28"/>
          <w:szCs w:val="28"/>
          <w:highlight w:val="none"/>
          <w:lang w:val="zh-CN"/>
        </w:rPr>
        <w:t>有依法缴纳税收和社会保障金的良好记录</w:t>
      </w:r>
      <w:r>
        <w:rPr>
          <w:rFonts w:hint="eastAsia" w:ascii="仿宋" w:hAnsi="仿宋" w:eastAsia="仿宋" w:cs="仿宋"/>
          <w:color w:val="auto"/>
          <w:sz w:val="28"/>
          <w:szCs w:val="28"/>
          <w:highlight w:val="none"/>
        </w:rPr>
        <w:t>，参加本项目采购活动前三年内无重大违法活动记录。</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我方对以上承诺负全部法律责任。</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pPr>
        <w:tabs>
          <w:tab w:val="left" w:pos="6300"/>
        </w:tabs>
        <w:snapToGrid w:val="0"/>
        <w:spacing w:line="500" w:lineRule="exact"/>
        <w:ind w:firstLine="560" w:firstLineChars="200"/>
        <w:rPr>
          <w:rFonts w:hint="eastAsia" w:ascii="仿宋" w:hAnsi="仿宋" w:eastAsia="仿宋" w:cs="仿宋"/>
          <w:color w:val="auto"/>
          <w:sz w:val="28"/>
          <w:szCs w:val="28"/>
          <w:highlight w:val="none"/>
        </w:rPr>
      </w:pPr>
    </w:p>
    <w:p>
      <w:pPr>
        <w:tabs>
          <w:tab w:val="left" w:pos="6300"/>
        </w:tabs>
        <w:snapToGrid w:val="0"/>
        <w:spacing w:line="500" w:lineRule="exact"/>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（投标人公章）</w:t>
      </w:r>
    </w:p>
    <w:p>
      <w:pPr>
        <w:tabs>
          <w:tab w:val="left" w:pos="6300"/>
        </w:tabs>
        <w:snapToGrid w:val="0"/>
        <w:spacing w:line="500" w:lineRule="exact"/>
        <w:ind w:firstLine="560" w:firstLineChars="20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年   月   </w:t>
      </w:r>
      <w:bookmarkStart w:id="382" w:name="_Toc19753"/>
      <w:bookmarkStart w:id="383" w:name="_Toc23213"/>
      <w:bookmarkStart w:id="384" w:name="_Toc4466"/>
      <w:r>
        <w:rPr>
          <w:rFonts w:hint="eastAsia" w:ascii="仿宋" w:hAnsi="仿宋" w:eastAsia="仿宋" w:cs="仿宋"/>
          <w:color w:val="auto"/>
          <w:sz w:val="28"/>
          <w:szCs w:val="28"/>
          <w:highlight w:val="none"/>
          <w:lang w:eastAsia="zh-CN"/>
        </w:rPr>
        <w:t>日</w:t>
      </w:r>
    </w:p>
    <w:p>
      <w:pPr>
        <w:tabs>
          <w:tab w:val="left" w:pos="6300"/>
        </w:tabs>
        <w:snapToGrid w:val="0"/>
        <w:spacing w:line="500" w:lineRule="exact"/>
        <w:ind w:firstLine="560" w:firstLineChars="200"/>
        <w:jc w:val="right"/>
        <w:rPr>
          <w:rFonts w:hint="eastAsia" w:ascii="仿宋" w:hAnsi="仿宋" w:eastAsia="仿宋" w:cs="仿宋"/>
          <w:color w:val="auto"/>
          <w:sz w:val="28"/>
          <w:szCs w:val="28"/>
          <w:highlight w:val="none"/>
        </w:rPr>
      </w:pPr>
    </w:p>
    <w:p>
      <w:pPr>
        <w:tabs>
          <w:tab w:val="left" w:pos="6300"/>
        </w:tabs>
        <w:snapToGrid w:val="0"/>
        <w:spacing w:line="500" w:lineRule="exact"/>
        <w:ind w:firstLine="560" w:firstLineChars="200"/>
        <w:jc w:val="right"/>
        <w:rPr>
          <w:rFonts w:hint="eastAsia" w:ascii="仿宋" w:hAnsi="仿宋" w:eastAsia="仿宋" w:cs="仿宋"/>
          <w:color w:val="auto"/>
          <w:sz w:val="28"/>
          <w:szCs w:val="28"/>
          <w:highlight w:val="none"/>
        </w:rPr>
      </w:pPr>
    </w:p>
    <w:p>
      <w:pPr>
        <w:tabs>
          <w:tab w:val="left" w:pos="6300"/>
        </w:tabs>
        <w:snapToGrid w:val="0"/>
        <w:spacing w:line="500" w:lineRule="exact"/>
        <w:ind w:firstLine="560" w:firstLineChars="200"/>
        <w:jc w:val="right"/>
        <w:rPr>
          <w:rFonts w:hint="eastAsia" w:ascii="仿宋" w:hAnsi="仿宋" w:eastAsia="仿宋" w:cs="仿宋"/>
          <w:color w:val="auto"/>
          <w:sz w:val="28"/>
          <w:szCs w:val="28"/>
          <w:highlight w:val="none"/>
        </w:rPr>
      </w:pPr>
    </w:p>
    <w:p>
      <w:pPr>
        <w:tabs>
          <w:tab w:val="left" w:pos="6300"/>
        </w:tabs>
        <w:snapToGrid w:val="0"/>
        <w:spacing w:line="500" w:lineRule="exact"/>
        <w:ind w:firstLine="560" w:firstLineChars="200"/>
        <w:jc w:val="right"/>
        <w:rPr>
          <w:rFonts w:hint="eastAsia" w:ascii="仿宋" w:hAnsi="仿宋" w:eastAsia="仿宋" w:cs="仿宋"/>
          <w:color w:val="auto"/>
          <w:sz w:val="28"/>
          <w:szCs w:val="28"/>
          <w:highlight w:val="none"/>
        </w:rPr>
      </w:pPr>
    </w:p>
    <w:p>
      <w:pPr>
        <w:tabs>
          <w:tab w:val="left" w:pos="6300"/>
        </w:tabs>
        <w:snapToGrid w:val="0"/>
        <w:spacing w:line="500" w:lineRule="exact"/>
        <w:ind w:firstLine="560" w:firstLineChars="200"/>
        <w:jc w:val="right"/>
        <w:rPr>
          <w:rFonts w:hint="eastAsia" w:ascii="仿宋" w:hAnsi="仿宋" w:eastAsia="仿宋" w:cs="仿宋"/>
          <w:color w:val="auto"/>
          <w:sz w:val="28"/>
          <w:szCs w:val="28"/>
          <w:highlight w:val="none"/>
        </w:rPr>
      </w:pPr>
    </w:p>
    <w:p>
      <w:pPr>
        <w:tabs>
          <w:tab w:val="left" w:pos="6300"/>
        </w:tabs>
        <w:snapToGrid w:val="0"/>
        <w:spacing w:line="500" w:lineRule="exact"/>
        <w:ind w:firstLine="560" w:firstLineChars="200"/>
        <w:jc w:val="right"/>
        <w:rPr>
          <w:rFonts w:hint="eastAsia" w:ascii="仿宋" w:hAnsi="仿宋" w:eastAsia="仿宋" w:cs="仿宋"/>
          <w:color w:val="auto"/>
          <w:sz w:val="28"/>
          <w:szCs w:val="28"/>
          <w:highlight w:val="none"/>
        </w:rPr>
      </w:pPr>
    </w:p>
    <w:p>
      <w:pPr>
        <w:tabs>
          <w:tab w:val="left" w:pos="6300"/>
        </w:tabs>
        <w:snapToGrid w:val="0"/>
        <w:spacing w:line="500" w:lineRule="exact"/>
        <w:ind w:firstLine="560" w:firstLineChars="200"/>
        <w:jc w:val="right"/>
        <w:rPr>
          <w:rFonts w:hint="eastAsia" w:ascii="仿宋" w:hAnsi="仿宋" w:eastAsia="仿宋" w:cs="仿宋"/>
          <w:color w:val="auto"/>
          <w:sz w:val="28"/>
          <w:szCs w:val="28"/>
          <w:highlight w:val="none"/>
        </w:rPr>
      </w:pPr>
    </w:p>
    <w:p>
      <w:pPr>
        <w:tabs>
          <w:tab w:val="left" w:pos="6300"/>
        </w:tabs>
        <w:snapToGrid w:val="0"/>
        <w:spacing w:line="500" w:lineRule="exact"/>
        <w:ind w:firstLine="560" w:firstLineChars="200"/>
        <w:jc w:val="right"/>
        <w:rPr>
          <w:rFonts w:hint="eastAsia" w:ascii="仿宋" w:hAnsi="仿宋" w:eastAsia="仿宋" w:cs="仿宋"/>
          <w:color w:val="auto"/>
          <w:sz w:val="28"/>
          <w:szCs w:val="28"/>
          <w:highlight w:val="none"/>
        </w:rPr>
      </w:pPr>
    </w:p>
    <w:p>
      <w:pPr>
        <w:tabs>
          <w:tab w:val="left" w:pos="6300"/>
        </w:tabs>
        <w:snapToGrid w:val="0"/>
        <w:spacing w:line="5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（五）特定资格条件证书或证明文件</w:t>
      </w:r>
      <w:bookmarkEnd w:id="382"/>
      <w:bookmarkEnd w:id="383"/>
      <w:bookmarkEnd w:id="384"/>
    </w:p>
    <w:p>
      <w:pPr>
        <w:pStyle w:val="5"/>
        <w:spacing w:line="520" w:lineRule="exact"/>
        <w:ind w:firstLine="527"/>
        <w:outlineLvl w:val="9"/>
        <w:rPr>
          <w:rFonts w:hint="eastAsia" w:ascii="仿宋" w:hAnsi="仿宋" w:eastAsia="仿宋" w:cs="仿宋"/>
          <w:color w:val="auto"/>
          <w:sz w:val="30"/>
          <w:highlight w:val="none"/>
        </w:rPr>
      </w:pPr>
    </w:p>
    <w:p>
      <w:pPr>
        <w:pStyle w:val="5"/>
        <w:spacing w:line="520" w:lineRule="exact"/>
        <w:ind w:firstLine="527"/>
        <w:outlineLvl w:val="9"/>
        <w:rPr>
          <w:rFonts w:hint="eastAsia" w:ascii="仿宋" w:hAnsi="仿宋" w:eastAsia="仿宋" w:cs="仿宋"/>
          <w:color w:val="auto"/>
          <w:sz w:val="30"/>
          <w:highlight w:val="none"/>
        </w:rPr>
      </w:pPr>
    </w:p>
    <w:p>
      <w:pPr>
        <w:pStyle w:val="5"/>
        <w:spacing w:line="520" w:lineRule="exact"/>
        <w:ind w:firstLine="527"/>
        <w:outlineLvl w:val="9"/>
        <w:rPr>
          <w:rFonts w:hint="eastAsia" w:ascii="仿宋" w:hAnsi="仿宋" w:eastAsia="仿宋" w:cs="仿宋"/>
          <w:color w:val="auto"/>
          <w:sz w:val="30"/>
          <w:highlight w:val="none"/>
        </w:rPr>
      </w:pPr>
    </w:p>
    <w:p>
      <w:pPr>
        <w:pStyle w:val="5"/>
        <w:spacing w:line="520" w:lineRule="exact"/>
        <w:ind w:firstLine="527"/>
        <w:outlineLvl w:val="9"/>
        <w:rPr>
          <w:rFonts w:hint="eastAsia" w:ascii="仿宋" w:hAnsi="仿宋" w:eastAsia="仿宋" w:cs="仿宋"/>
          <w:color w:val="auto"/>
          <w:sz w:val="30"/>
          <w:highlight w:val="none"/>
        </w:rPr>
      </w:pPr>
    </w:p>
    <w:bookmarkEnd w:id="64"/>
    <w:bookmarkEnd w:id="65"/>
    <w:bookmarkEnd w:id="66"/>
    <w:bookmarkEnd w:id="67"/>
    <w:bookmarkEnd w:id="68"/>
    <w:bookmarkEnd w:id="69"/>
    <w:bookmarkEnd w:id="88"/>
    <w:bookmarkEnd w:id="89"/>
    <w:bookmarkEnd w:id="90"/>
    <w:bookmarkEnd w:id="91"/>
    <w:bookmarkEnd w:id="92"/>
    <w:p>
      <w:pPr>
        <w:spacing w:line="360" w:lineRule="auto"/>
        <w:rPr>
          <w:rFonts w:hint="eastAsia" w:ascii="仿宋" w:hAnsi="仿宋" w:eastAsia="仿宋" w:cs="仿宋"/>
          <w:color w:val="auto"/>
          <w:sz w:val="28"/>
          <w:szCs w:val="28"/>
          <w:highlight w:val="none"/>
        </w:rPr>
      </w:pPr>
    </w:p>
    <w:sectPr>
      <w:headerReference r:id="rId6" w:type="default"/>
      <w:footerReference r:id="rId7" w:type="default"/>
      <w:pgSz w:w="11906" w:h="16838"/>
      <w:pgMar w:top="1418" w:right="1134" w:bottom="1418" w:left="113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F125521-AD05-4A38-A4CB-3D3B9986301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EBE1B713-AC64-46C7-A2F6-467F8B8D8D82}"/>
  </w:font>
  <w:font w:name="Verdana">
    <w:panose1 w:val="020B0604030504040204"/>
    <w:charset w:val="00"/>
    <w:family w:val="swiss"/>
    <w:pitch w:val="default"/>
    <w:sig w:usb0="A10006FF" w:usb1="4000205B" w:usb2="00000010" w:usb3="00000000" w:csb0="2000019F" w:csb1="00000000"/>
  </w:font>
  <w:font w:name="方正仿宋_GBK">
    <w:panose1 w:val="02000000000000000000"/>
    <w:charset w:val="86"/>
    <w:family w:val="script"/>
    <w:pitch w:val="default"/>
    <w:sig w:usb0="00000000" w:usb1="00000000" w:usb2="00000000" w:usb3="00000000" w:csb0="00000000" w:csb1="00000000"/>
    <w:embedRegular r:id="rId3" w:fontKey="{C51343AF-6E83-4D39-B8DA-CE233F8624F8}"/>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F20E2B98-A82E-4F93-B674-CFFCEBD1FD09}"/>
  </w:font>
  <w:font w:name="方正小标宋_GBK">
    <w:panose1 w:val="02000000000000000000"/>
    <w:charset w:val="86"/>
    <w:family w:val="script"/>
    <w:pitch w:val="default"/>
    <w:sig w:usb0="00000000" w:usb1="00000000" w:usb2="00000000" w:usb3="00000000" w:csb0="00000000" w:csb1="00000000"/>
    <w:embedRegular r:id="rId5" w:fontKey="{DF113633-5F49-4F87-8C5D-791784EE448A}"/>
  </w:font>
  <w:font w:name="方正楷体_GBK">
    <w:panose1 w:val="02000000000000000000"/>
    <w:charset w:val="86"/>
    <w:family w:val="script"/>
    <w:pitch w:val="default"/>
    <w:sig w:usb0="00000000" w:usb1="00000000" w:usb2="00000000" w:usb3="00000000" w:csb0="00000000" w:csb1="00000000"/>
    <w:embedRegular r:id="rId6" w:fontKey="{92139607-A5D5-4C37-8C47-43A25E5541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ind w:right="360"/>
                            <w:jc w:val="center"/>
                          </w:pPr>
                          <w:r>
                            <w:fldChar w:fldCharType="begin"/>
                          </w:r>
                          <w:r>
                            <w:rPr>
                              <w:rStyle w:val="28"/>
                            </w:rPr>
                            <w:instrText xml:space="preserve"> PAGE </w:instrText>
                          </w:r>
                          <w:r>
                            <w:fldChar w:fldCharType="separate"/>
                          </w:r>
                          <w:r>
                            <w:rPr>
                              <w:rStyle w:val="28"/>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20"/>
                      <w:ind w:right="360"/>
                      <w:jc w:val="center"/>
                    </w:pPr>
                    <w:r>
                      <w:fldChar w:fldCharType="begin"/>
                    </w:r>
                    <w:r>
                      <w:rPr>
                        <w:rStyle w:val="28"/>
                      </w:rPr>
                      <w:instrText xml:space="preserve"> PAGE </w:instrText>
                    </w:r>
                    <w:r>
                      <w:fldChar w:fldCharType="separate"/>
                    </w:r>
                    <w:r>
                      <w:rPr>
                        <w:rStyle w:val="28"/>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FADDB3"/>
    <w:multiLevelType w:val="singleLevel"/>
    <w:tmpl w:val="CFFADDB3"/>
    <w:lvl w:ilvl="0" w:tentative="0">
      <w:start w:val="1"/>
      <w:numFmt w:val="chineseCounting"/>
      <w:suff w:val="nothing"/>
      <w:lvlText w:val="（%1）"/>
      <w:lvlJc w:val="left"/>
      <w:pPr>
        <w:ind w:left="0" w:firstLine="420"/>
      </w:pPr>
      <w:rPr>
        <w:rFonts w:hint="eastAsia"/>
      </w:rPr>
    </w:lvl>
  </w:abstractNum>
  <w:abstractNum w:abstractNumId="1">
    <w:nsid w:val="D7AB1FE7"/>
    <w:multiLevelType w:val="singleLevel"/>
    <w:tmpl w:val="D7AB1FE7"/>
    <w:lvl w:ilvl="0" w:tentative="0">
      <w:start w:val="3"/>
      <w:numFmt w:val="chineseCounting"/>
      <w:suff w:val="nothing"/>
      <w:lvlText w:val="%1、"/>
      <w:lvlJc w:val="left"/>
      <w:rPr>
        <w:rFonts w:hint="eastAsia"/>
      </w:rPr>
    </w:lvl>
  </w:abstractNum>
  <w:abstractNum w:abstractNumId="2">
    <w:nsid w:val="E0A95C96"/>
    <w:multiLevelType w:val="singleLevel"/>
    <w:tmpl w:val="E0A95C96"/>
    <w:lvl w:ilvl="0" w:tentative="0">
      <w:start w:val="2"/>
      <w:numFmt w:val="chineseCounting"/>
      <w:suff w:val="nothing"/>
      <w:lvlText w:val="%1、"/>
      <w:lvlJc w:val="left"/>
      <w:rPr>
        <w:rFonts w:hint="eastAsia"/>
      </w:rPr>
    </w:lvl>
  </w:abstractNum>
  <w:abstractNum w:abstractNumId="3">
    <w:nsid w:val="ED92A20B"/>
    <w:multiLevelType w:val="singleLevel"/>
    <w:tmpl w:val="ED92A20B"/>
    <w:lvl w:ilvl="0" w:tentative="0">
      <w:start w:val="2"/>
      <w:numFmt w:val="decimal"/>
      <w:suff w:val="nothing"/>
      <w:lvlText w:val="%1、"/>
      <w:lvlJc w:val="left"/>
    </w:lvl>
  </w:abstractNum>
  <w:abstractNum w:abstractNumId="4">
    <w:nsid w:val="00000008"/>
    <w:multiLevelType w:val="multilevel"/>
    <w:tmpl w:val="00000008"/>
    <w:lvl w:ilvl="0" w:tentative="0">
      <w:start w:val="1"/>
      <w:numFmt w:val="chineseCountingThousand"/>
      <w:pStyle w:val="6"/>
      <w:lvlText w:val="%1、"/>
      <w:lvlJc w:val="left"/>
      <w:pPr>
        <w:tabs>
          <w:tab w:val="left" w:pos="720"/>
        </w:tabs>
        <w:ind w:left="1260" w:hanging="420"/>
      </w:pPr>
      <w:rPr>
        <w:rFonts w:hint="eastAsia"/>
      </w:rPr>
    </w:lvl>
    <w:lvl w:ilvl="1" w:tentative="0">
      <w:start w:val="1"/>
      <w:numFmt w:val="lowerLetter"/>
      <w:lvlText w:val="%2)"/>
      <w:lvlJc w:val="left"/>
      <w:pPr>
        <w:tabs>
          <w:tab w:val="left" w:pos="840"/>
        </w:tabs>
        <w:ind w:left="1680" w:hanging="420"/>
      </w:pPr>
    </w:lvl>
    <w:lvl w:ilvl="2" w:tentative="0">
      <w:start w:val="1"/>
      <w:numFmt w:val="lowerRoman"/>
      <w:lvlText w:val="%3."/>
      <w:lvlJc w:val="right"/>
      <w:pPr>
        <w:tabs>
          <w:tab w:val="left" w:pos="1260"/>
        </w:tabs>
        <w:ind w:left="2100" w:hanging="420"/>
      </w:pPr>
    </w:lvl>
    <w:lvl w:ilvl="3" w:tentative="0">
      <w:start w:val="1"/>
      <w:numFmt w:val="decimal"/>
      <w:lvlText w:val="%4."/>
      <w:lvlJc w:val="left"/>
      <w:pPr>
        <w:tabs>
          <w:tab w:val="left" w:pos="1680"/>
        </w:tabs>
        <w:ind w:left="2520" w:hanging="420"/>
      </w:pPr>
    </w:lvl>
    <w:lvl w:ilvl="4" w:tentative="0">
      <w:start w:val="1"/>
      <w:numFmt w:val="lowerLetter"/>
      <w:lvlText w:val="%5)"/>
      <w:lvlJc w:val="left"/>
      <w:pPr>
        <w:tabs>
          <w:tab w:val="left" w:pos="2100"/>
        </w:tabs>
        <w:ind w:left="2940" w:hanging="420"/>
      </w:pPr>
    </w:lvl>
    <w:lvl w:ilvl="5" w:tentative="0">
      <w:start w:val="1"/>
      <w:numFmt w:val="lowerRoman"/>
      <w:lvlText w:val="%6."/>
      <w:lvlJc w:val="right"/>
      <w:pPr>
        <w:tabs>
          <w:tab w:val="left" w:pos="2520"/>
        </w:tabs>
        <w:ind w:left="3360" w:hanging="420"/>
      </w:pPr>
    </w:lvl>
    <w:lvl w:ilvl="6" w:tentative="0">
      <w:start w:val="1"/>
      <w:numFmt w:val="decimal"/>
      <w:lvlText w:val="%7."/>
      <w:lvlJc w:val="left"/>
      <w:pPr>
        <w:tabs>
          <w:tab w:val="left" w:pos="2940"/>
        </w:tabs>
        <w:ind w:left="3780" w:hanging="420"/>
      </w:pPr>
    </w:lvl>
    <w:lvl w:ilvl="7" w:tentative="0">
      <w:start w:val="1"/>
      <w:numFmt w:val="lowerLetter"/>
      <w:lvlText w:val="%8)"/>
      <w:lvlJc w:val="left"/>
      <w:pPr>
        <w:tabs>
          <w:tab w:val="left" w:pos="3360"/>
        </w:tabs>
        <w:ind w:left="4200" w:hanging="420"/>
      </w:pPr>
    </w:lvl>
    <w:lvl w:ilvl="8" w:tentative="0">
      <w:start w:val="1"/>
      <w:numFmt w:val="lowerRoman"/>
      <w:lvlText w:val="%9."/>
      <w:lvlJc w:val="right"/>
      <w:pPr>
        <w:tabs>
          <w:tab w:val="left" w:pos="3780"/>
        </w:tabs>
        <w:ind w:left="4620" w:hanging="420"/>
      </w:pPr>
    </w:lvl>
  </w:abstractNum>
  <w:abstractNum w:abstractNumId="5">
    <w:nsid w:val="51E42E16"/>
    <w:multiLevelType w:val="singleLevel"/>
    <w:tmpl w:val="51E42E16"/>
    <w:lvl w:ilvl="0" w:tentative="0">
      <w:start w:val="2"/>
      <w:numFmt w:val="chineseCounting"/>
      <w:suff w:val="nothing"/>
      <w:lvlText w:val="%1、"/>
      <w:lvlJc w:val="left"/>
      <w:rPr>
        <w:rFonts w:hint="eastAsia"/>
      </w:rPr>
    </w:lvl>
  </w:abstractNum>
  <w:abstractNum w:abstractNumId="6">
    <w:nsid w:val="77315913"/>
    <w:multiLevelType w:val="singleLevel"/>
    <w:tmpl w:val="77315913"/>
    <w:lvl w:ilvl="0" w:tentative="0">
      <w:start w:val="3"/>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ZjY4NDBmNzE3ZWFkMmNmYzk5MGEyMDgyMmVmMWUifQ=="/>
  </w:docVars>
  <w:rsids>
    <w:rsidRoot w:val="00172A27"/>
    <w:rsid w:val="00002E0F"/>
    <w:rsid w:val="00003FC4"/>
    <w:rsid w:val="00004E1E"/>
    <w:rsid w:val="00005E81"/>
    <w:rsid w:val="000100F3"/>
    <w:rsid w:val="00013B05"/>
    <w:rsid w:val="0001641E"/>
    <w:rsid w:val="000167AD"/>
    <w:rsid w:val="00016AA7"/>
    <w:rsid w:val="000171E6"/>
    <w:rsid w:val="00022061"/>
    <w:rsid w:val="000235D8"/>
    <w:rsid w:val="00025928"/>
    <w:rsid w:val="00027343"/>
    <w:rsid w:val="000357E5"/>
    <w:rsid w:val="00035A7B"/>
    <w:rsid w:val="0004064D"/>
    <w:rsid w:val="0004131A"/>
    <w:rsid w:val="000431BB"/>
    <w:rsid w:val="00044C1F"/>
    <w:rsid w:val="00045708"/>
    <w:rsid w:val="00045B23"/>
    <w:rsid w:val="000515D6"/>
    <w:rsid w:val="000543F2"/>
    <w:rsid w:val="00057DC4"/>
    <w:rsid w:val="00060252"/>
    <w:rsid w:val="00061849"/>
    <w:rsid w:val="00061A73"/>
    <w:rsid w:val="00064A69"/>
    <w:rsid w:val="0006621C"/>
    <w:rsid w:val="00067898"/>
    <w:rsid w:val="00067A55"/>
    <w:rsid w:val="00071104"/>
    <w:rsid w:val="00071731"/>
    <w:rsid w:val="00071915"/>
    <w:rsid w:val="000729AB"/>
    <w:rsid w:val="00073CEE"/>
    <w:rsid w:val="00074363"/>
    <w:rsid w:val="000823E8"/>
    <w:rsid w:val="00084B5D"/>
    <w:rsid w:val="00084F48"/>
    <w:rsid w:val="0008607D"/>
    <w:rsid w:val="00086BB9"/>
    <w:rsid w:val="000874C6"/>
    <w:rsid w:val="00093403"/>
    <w:rsid w:val="00095F22"/>
    <w:rsid w:val="000A275D"/>
    <w:rsid w:val="000A2A57"/>
    <w:rsid w:val="000A5AF6"/>
    <w:rsid w:val="000B2F44"/>
    <w:rsid w:val="000B3BDE"/>
    <w:rsid w:val="000B41A5"/>
    <w:rsid w:val="000B4733"/>
    <w:rsid w:val="000C01B6"/>
    <w:rsid w:val="000C3DD2"/>
    <w:rsid w:val="000C47B7"/>
    <w:rsid w:val="000C4D07"/>
    <w:rsid w:val="000D0817"/>
    <w:rsid w:val="000D1DF5"/>
    <w:rsid w:val="000D1E5F"/>
    <w:rsid w:val="000D2BC2"/>
    <w:rsid w:val="000D34F7"/>
    <w:rsid w:val="000D7B98"/>
    <w:rsid w:val="000E07E2"/>
    <w:rsid w:val="000E0FCB"/>
    <w:rsid w:val="000E4AFB"/>
    <w:rsid w:val="000E574D"/>
    <w:rsid w:val="000E626A"/>
    <w:rsid w:val="000F0786"/>
    <w:rsid w:val="000F42B7"/>
    <w:rsid w:val="000F5B74"/>
    <w:rsid w:val="000F5C75"/>
    <w:rsid w:val="000F69D0"/>
    <w:rsid w:val="00102669"/>
    <w:rsid w:val="001042D1"/>
    <w:rsid w:val="00104E7C"/>
    <w:rsid w:val="00106841"/>
    <w:rsid w:val="0010729D"/>
    <w:rsid w:val="0011103B"/>
    <w:rsid w:val="0011120B"/>
    <w:rsid w:val="0011520A"/>
    <w:rsid w:val="00115A1A"/>
    <w:rsid w:val="00123AA7"/>
    <w:rsid w:val="00124CCD"/>
    <w:rsid w:val="00130A69"/>
    <w:rsid w:val="00131111"/>
    <w:rsid w:val="001346AD"/>
    <w:rsid w:val="00135420"/>
    <w:rsid w:val="00142300"/>
    <w:rsid w:val="00146278"/>
    <w:rsid w:val="00146671"/>
    <w:rsid w:val="001471FF"/>
    <w:rsid w:val="00150D25"/>
    <w:rsid w:val="00152BDF"/>
    <w:rsid w:val="001535A8"/>
    <w:rsid w:val="0016015F"/>
    <w:rsid w:val="0016018A"/>
    <w:rsid w:val="00160A02"/>
    <w:rsid w:val="00163E30"/>
    <w:rsid w:val="00165077"/>
    <w:rsid w:val="001651A0"/>
    <w:rsid w:val="001678A8"/>
    <w:rsid w:val="00171FF2"/>
    <w:rsid w:val="00172A27"/>
    <w:rsid w:val="001735A0"/>
    <w:rsid w:val="00174B4D"/>
    <w:rsid w:val="001771DD"/>
    <w:rsid w:val="00177734"/>
    <w:rsid w:val="0018001A"/>
    <w:rsid w:val="00181DB0"/>
    <w:rsid w:val="00182159"/>
    <w:rsid w:val="00183F2D"/>
    <w:rsid w:val="0018729E"/>
    <w:rsid w:val="001874DD"/>
    <w:rsid w:val="0018785D"/>
    <w:rsid w:val="00190443"/>
    <w:rsid w:val="001925E2"/>
    <w:rsid w:val="00195FF5"/>
    <w:rsid w:val="001A0E47"/>
    <w:rsid w:val="001A2711"/>
    <w:rsid w:val="001A2B5A"/>
    <w:rsid w:val="001A380F"/>
    <w:rsid w:val="001B45A4"/>
    <w:rsid w:val="001B4646"/>
    <w:rsid w:val="001B47A7"/>
    <w:rsid w:val="001B7E8B"/>
    <w:rsid w:val="001C13AF"/>
    <w:rsid w:val="001C2E3D"/>
    <w:rsid w:val="001C51C1"/>
    <w:rsid w:val="001C5E97"/>
    <w:rsid w:val="001D090A"/>
    <w:rsid w:val="001D0C56"/>
    <w:rsid w:val="001D45B0"/>
    <w:rsid w:val="001D4E09"/>
    <w:rsid w:val="001D7520"/>
    <w:rsid w:val="001E0437"/>
    <w:rsid w:val="001E0456"/>
    <w:rsid w:val="001E25B7"/>
    <w:rsid w:val="001E3771"/>
    <w:rsid w:val="001F0E71"/>
    <w:rsid w:val="001F10E3"/>
    <w:rsid w:val="001F3D33"/>
    <w:rsid w:val="001F55D6"/>
    <w:rsid w:val="001F7486"/>
    <w:rsid w:val="001F7C0F"/>
    <w:rsid w:val="0020013D"/>
    <w:rsid w:val="002005E9"/>
    <w:rsid w:val="00200FD8"/>
    <w:rsid w:val="002033D2"/>
    <w:rsid w:val="00203A06"/>
    <w:rsid w:val="00210FF4"/>
    <w:rsid w:val="0021195E"/>
    <w:rsid w:val="00211B3C"/>
    <w:rsid w:val="00212780"/>
    <w:rsid w:val="002133B4"/>
    <w:rsid w:val="0021466F"/>
    <w:rsid w:val="00217231"/>
    <w:rsid w:val="00220D0B"/>
    <w:rsid w:val="00221EEC"/>
    <w:rsid w:val="00223F51"/>
    <w:rsid w:val="00224D7B"/>
    <w:rsid w:val="00226242"/>
    <w:rsid w:val="00230DBC"/>
    <w:rsid w:val="0023475C"/>
    <w:rsid w:val="00237A64"/>
    <w:rsid w:val="00241DC3"/>
    <w:rsid w:val="00244D1C"/>
    <w:rsid w:val="0025197B"/>
    <w:rsid w:val="00253828"/>
    <w:rsid w:val="00255B3A"/>
    <w:rsid w:val="002611B0"/>
    <w:rsid w:val="00264A9C"/>
    <w:rsid w:val="00265DB3"/>
    <w:rsid w:val="00266D65"/>
    <w:rsid w:val="00271524"/>
    <w:rsid w:val="00271FAC"/>
    <w:rsid w:val="0027613B"/>
    <w:rsid w:val="00276638"/>
    <w:rsid w:val="002772CD"/>
    <w:rsid w:val="0027793C"/>
    <w:rsid w:val="0028082D"/>
    <w:rsid w:val="00283902"/>
    <w:rsid w:val="0028527E"/>
    <w:rsid w:val="00287D41"/>
    <w:rsid w:val="00296E84"/>
    <w:rsid w:val="002A1350"/>
    <w:rsid w:val="002A20E0"/>
    <w:rsid w:val="002A24A8"/>
    <w:rsid w:val="002A6954"/>
    <w:rsid w:val="002B2AC9"/>
    <w:rsid w:val="002B4B66"/>
    <w:rsid w:val="002B5C3F"/>
    <w:rsid w:val="002B70B1"/>
    <w:rsid w:val="002C2219"/>
    <w:rsid w:val="002C5C59"/>
    <w:rsid w:val="002C6058"/>
    <w:rsid w:val="002D0021"/>
    <w:rsid w:val="002D1B28"/>
    <w:rsid w:val="002D2508"/>
    <w:rsid w:val="002D72CD"/>
    <w:rsid w:val="002E4290"/>
    <w:rsid w:val="002E5CF7"/>
    <w:rsid w:val="002E5D08"/>
    <w:rsid w:val="002E74C2"/>
    <w:rsid w:val="002E7FA5"/>
    <w:rsid w:val="002F1032"/>
    <w:rsid w:val="002F2F96"/>
    <w:rsid w:val="002F45D1"/>
    <w:rsid w:val="002F68D5"/>
    <w:rsid w:val="00302518"/>
    <w:rsid w:val="00305E4E"/>
    <w:rsid w:val="00313267"/>
    <w:rsid w:val="00313827"/>
    <w:rsid w:val="003208DF"/>
    <w:rsid w:val="00321855"/>
    <w:rsid w:val="003315CA"/>
    <w:rsid w:val="00334FA2"/>
    <w:rsid w:val="00344823"/>
    <w:rsid w:val="00350545"/>
    <w:rsid w:val="003521B5"/>
    <w:rsid w:val="00352BDB"/>
    <w:rsid w:val="003542AA"/>
    <w:rsid w:val="00360685"/>
    <w:rsid w:val="003638CB"/>
    <w:rsid w:val="00370920"/>
    <w:rsid w:val="00372F2E"/>
    <w:rsid w:val="00373C92"/>
    <w:rsid w:val="003748BF"/>
    <w:rsid w:val="00376335"/>
    <w:rsid w:val="003766D6"/>
    <w:rsid w:val="0038294D"/>
    <w:rsid w:val="003835F3"/>
    <w:rsid w:val="003836F9"/>
    <w:rsid w:val="00384169"/>
    <w:rsid w:val="003845E6"/>
    <w:rsid w:val="003877D5"/>
    <w:rsid w:val="0039045E"/>
    <w:rsid w:val="00390C9B"/>
    <w:rsid w:val="00393742"/>
    <w:rsid w:val="003A58D8"/>
    <w:rsid w:val="003A733B"/>
    <w:rsid w:val="003B5056"/>
    <w:rsid w:val="003B5B31"/>
    <w:rsid w:val="003B623B"/>
    <w:rsid w:val="003C1241"/>
    <w:rsid w:val="003C1B6D"/>
    <w:rsid w:val="003C24F3"/>
    <w:rsid w:val="003C3E68"/>
    <w:rsid w:val="003C45D3"/>
    <w:rsid w:val="003C59CB"/>
    <w:rsid w:val="003D00D8"/>
    <w:rsid w:val="003D0C0E"/>
    <w:rsid w:val="003D3396"/>
    <w:rsid w:val="003D5423"/>
    <w:rsid w:val="003D72A9"/>
    <w:rsid w:val="003E352E"/>
    <w:rsid w:val="003E46FA"/>
    <w:rsid w:val="003E627C"/>
    <w:rsid w:val="003E6920"/>
    <w:rsid w:val="003E6978"/>
    <w:rsid w:val="003E7D01"/>
    <w:rsid w:val="003F0803"/>
    <w:rsid w:val="003F24E3"/>
    <w:rsid w:val="003F3118"/>
    <w:rsid w:val="003F6999"/>
    <w:rsid w:val="00400C9F"/>
    <w:rsid w:val="0040102A"/>
    <w:rsid w:val="00401E88"/>
    <w:rsid w:val="00402DDA"/>
    <w:rsid w:val="00403D90"/>
    <w:rsid w:val="004103F1"/>
    <w:rsid w:val="00410D84"/>
    <w:rsid w:val="004148CC"/>
    <w:rsid w:val="00415EFF"/>
    <w:rsid w:val="00417A03"/>
    <w:rsid w:val="00417DD9"/>
    <w:rsid w:val="00420636"/>
    <w:rsid w:val="0042123C"/>
    <w:rsid w:val="00425183"/>
    <w:rsid w:val="00430CAF"/>
    <w:rsid w:val="0043340F"/>
    <w:rsid w:val="00434E3F"/>
    <w:rsid w:val="00435C97"/>
    <w:rsid w:val="00444157"/>
    <w:rsid w:val="0044787B"/>
    <w:rsid w:val="0045060D"/>
    <w:rsid w:val="0045309A"/>
    <w:rsid w:val="004541F2"/>
    <w:rsid w:val="00455F0A"/>
    <w:rsid w:val="0045622B"/>
    <w:rsid w:val="00456A73"/>
    <w:rsid w:val="0046094F"/>
    <w:rsid w:val="00463B82"/>
    <w:rsid w:val="004669FF"/>
    <w:rsid w:val="00467429"/>
    <w:rsid w:val="004727CD"/>
    <w:rsid w:val="00474A65"/>
    <w:rsid w:val="00475935"/>
    <w:rsid w:val="004800B3"/>
    <w:rsid w:val="00480F94"/>
    <w:rsid w:val="004827B6"/>
    <w:rsid w:val="00485684"/>
    <w:rsid w:val="0049465C"/>
    <w:rsid w:val="004953B8"/>
    <w:rsid w:val="00495665"/>
    <w:rsid w:val="00497854"/>
    <w:rsid w:val="004A1BCA"/>
    <w:rsid w:val="004A2560"/>
    <w:rsid w:val="004A28A1"/>
    <w:rsid w:val="004A4532"/>
    <w:rsid w:val="004A6B33"/>
    <w:rsid w:val="004B12EA"/>
    <w:rsid w:val="004B4626"/>
    <w:rsid w:val="004B5037"/>
    <w:rsid w:val="004B58A6"/>
    <w:rsid w:val="004B5F09"/>
    <w:rsid w:val="004B7EE6"/>
    <w:rsid w:val="004C0D0E"/>
    <w:rsid w:val="004D0CD7"/>
    <w:rsid w:val="004D2E37"/>
    <w:rsid w:val="004D7433"/>
    <w:rsid w:val="004E0FE1"/>
    <w:rsid w:val="004E1EAE"/>
    <w:rsid w:val="004E301A"/>
    <w:rsid w:val="004E50C0"/>
    <w:rsid w:val="004E556C"/>
    <w:rsid w:val="004E7B81"/>
    <w:rsid w:val="004F0C02"/>
    <w:rsid w:val="004F20DA"/>
    <w:rsid w:val="004F3393"/>
    <w:rsid w:val="004F4F80"/>
    <w:rsid w:val="004F6D51"/>
    <w:rsid w:val="005074C3"/>
    <w:rsid w:val="00507DFF"/>
    <w:rsid w:val="00511465"/>
    <w:rsid w:val="005119CE"/>
    <w:rsid w:val="00512552"/>
    <w:rsid w:val="00512671"/>
    <w:rsid w:val="0051350C"/>
    <w:rsid w:val="005217A9"/>
    <w:rsid w:val="005227BD"/>
    <w:rsid w:val="005241D1"/>
    <w:rsid w:val="00525A80"/>
    <w:rsid w:val="005310FC"/>
    <w:rsid w:val="00535D02"/>
    <w:rsid w:val="00535F22"/>
    <w:rsid w:val="00537355"/>
    <w:rsid w:val="005422CB"/>
    <w:rsid w:val="00545173"/>
    <w:rsid w:val="00547F27"/>
    <w:rsid w:val="00551D6D"/>
    <w:rsid w:val="00552802"/>
    <w:rsid w:val="0055382D"/>
    <w:rsid w:val="005565B2"/>
    <w:rsid w:val="00560AB9"/>
    <w:rsid w:val="00561064"/>
    <w:rsid w:val="00561F42"/>
    <w:rsid w:val="00564241"/>
    <w:rsid w:val="0056561C"/>
    <w:rsid w:val="00566873"/>
    <w:rsid w:val="00570643"/>
    <w:rsid w:val="00571BE3"/>
    <w:rsid w:val="00573422"/>
    <w:rsid w:val="00574E2B"/>
    <w:rsid w:val="00576EEA"/>
    <w:rsid w:val="00584D45"/>
    <w:rsid w:val="005903BF"/>
    <w:rsid w:val="00591BEC"/>
    <w:rsid w:val="00593AFD"/>
    <w:rsid w:val="00593C17"/>
    <w:rsid w:val="00596D14"/>
    <w:rsid w:val="00596E73"/>
    <w:rsid w:val="005A243E"/>
    <w:rsid w:val="005A377B"/>
    <w:rsid w:val="005B0422"/>
    <w:rsid w:val="005C4337"/>
    <w:rsid w:val="005C56A5"/>
    <w:rsid w:val="005C6382"/>
    <w:rsid w:val="005C6ED0"/>
    <w:rsid w:val="005D0F2A"/>
    <w:rsid w:val="005D6B56"/>
    <w:rsid w:val="005E447F"/>
    <w:rsid w:val="005E74DF"/>
    <w:rsid w:val="005F7305"/>
    <w:rsid w:val="005F755D"/>
    <w:rsid w:val="005F769A"/>
    <w:rsid w:val="006005B8"/>
    <w:rsid w:val="0060079B"/>
    <w:rsid w:val="0060205B"/>
    <w:rsid w:val="00602E0A"/>
    <w:rsid w:val="006072D8"/>
    <w:rsid w:val="00610891"/>
    <w:rsid w:val="0061196A"/>
    <w:rsid w:val="00612B02"/>
    <w:rsid w:val="00612EC6"/>
    <w:rsid w:val="0061362C"/>
    <w:rsid w:val="00613BAD"/>
    <w:rsid w:val="00613CF3"/>
    <w:rsid w:val="006143E6"/>
    <w:rsid w:val="00615BA0"/>
    <w:rsid w:val="0061756C"/>
    <w:rsid w:val="006202A1"/>
    <w:rsid w:val="00620F03"/>
    <w:rsid w:val="00625E92"/>
    <w:rsid w:val="00630489"/>
    <w:rsid w:val="00630B3C"/>
    <w:rsid w:val="006313F9"/>
    <w:rsid w:val="00633316"/>
    <w:rsid w:val="006352C8"/>
    <w:rsid w:val="0064028D"/>
    <w:rsid w:val="0064030F"/>
    <w:rsid w:val="00642087"/>
    <w:rsid w:val="006451F6"/>
    <w:rsid w:val="006540BF"/>
    <w:rsid w:val="006546E1"/>
    <w:rsid w:val="00663AE0"/>
    <w:rsid w:val="00663D35"/>
    <w:rsid w:val="00664ECC"/>
    <w:rsid w:val="0066549A"/>
    <w:rsid w:val="00671D5A"/>
    <w:rsid w:val="006730A0"/>
    <w:rsid w:val="0067343C"/>
    <w:rsid w:val="00673518"/>
    <w:rsid w:val="0067443C"/>
    <w:rsid w:val="006757A9"/>
    <w:rsid w:val="00677140"/>
    <w:rsid w:val="00681DBF"/>
    <w:rsid w:val="00693B1D"/>
    <w:rsid w:val="00694936"/>
    <w:rsid w:val="00697270"/>
    <w:rsid w:val="006A3F2A"/>
    <w:rsid w:val="006A5467"/>
    <w:rsid w:val="006A7B62"/>
    <w:rsid w:val="006B497B"/>
    <w:rsid w:val="006B7A62"/>
    <w:rsid w:val="006C1F8B"/>
    <w:rsid w:val="006C4509"/>
    <w:rsid w:val="006C4CC4"/>
    <w:rsid w:val="006D06AF"/>
    <w:rsid w:val="006D1106"/>
    <w:rsid w:val="006D31EC"/>
    <w:rsid w:val="006D5D29"/>
    <w:rsid w:val="006E2657"/>
    <w:rsid w:val="006E29FC"/>
    <w:rsid w:val="006E3F62"/>
    <w:rsid w:val="006E7FC9"/>
    <w:rsid w:val="006F0210"/>
    <w:rsid w:val="006F0245"/>
    <w:rsid w:val="006F3734"/>
    <w:rsid w:val="006F5233"/>
    <w:rsid w:val="006F5654"/>
    <w:rsid w:val="006F5F66"/>
    <w:rsid w:val="00701E24"/>
    <w:rsid w:val="00707437"/>
    <w:rsid w:val="00715C42"/>
    <w:rsid w:val="00716678"/>
    <w:rsid w:val="007208EF"/>
    <w:rsid w:val="00722FE7"/>
    <w:rsid w:val="007250D3"/>
    <w:rsid w:val="00732251"/>
    <w:rsid w:val="0073254F"/>
    <w:rsid w:val="00732AC5"/>
    <w:rsid w:val="00734B75"/>
    <w:rsid w:val="007367A4"/>
    <w:rsid w:val="00737891"/>
    <w:rsid w:val="00741511"/>
    <w:rsid w:val="007416A4"/>
    <w:rsid w:val="00741A4C"/>
    <w:rsid w:val="0074322F"/>
    <w:rsid w:val="007453CE"/>
    <w:rsid w:val="00745C7A"/>
    <w:rsid w:val="00750601"/>
    <w:rsid w:val="00750CBF"/>
    <w:rsid w:val="00752DF0"/>
    <w:rsid w:val="0075336D"/>
    <w:rsid w:val="007539B9"/>
    <w:rsid w:val="00760B92"/>
    <w:rsid w:val="00760D61"/>
    <w:rsid w:val="00762636"/>
    <w:rsid w:val="0076582F"/>
    <w:rsid w:val="0076586F"/>
    <w:rsid w:val="007670BA"/>
    <w:rsid w:val="007715EA"/>
    <w:rsid w:val="00773B63"/>
    <w:rsid w:val="00774376"/>
    <w:rsid w:val="00782368"/>
    <w:rsid w:val="00785EA0"/>
    <w:rsid w:val="00787F27"/>
    <w:rsid w:val="0079321C"/>
    <w:rsid w:val="007946D7"/>
    <w:rsid w:val="007A360A"/>
    <w:rsid w:val="007A4820"/>
    <w:rsid w:val="007B01A6"/>
    <w:rsid w:val="007B0A3B"/>
    <w:rsid w:val="007B1203"/>
    <w:rsid w:val="007B1A34"/>
    <w:rsid w:val="007B54AA"/>
    <w:rsid w:val="007B5E6E"/>
    <w:rsid w:val="007B78F9"/>
    <w:rsid w:val="007C0253"/>
    <w:rsid w:val="007C28D1"/>
    <w:rsid w:val="007C5E66"/>
    <w:rsid w:val="007D2FE3"/>
    <w:rsid w:val="007D309F"/>
    <w:rsid w:val="007D3270"/>
    <w:rsid w:val="007D5796"/>
    <w:rsid w:val="007D767F"/>
    <w:rsid w:val="007E0ACD"/>
    <w:rsid w:val="007E2A80"/>
    <w:rsid w:val="007E2F2B"/>
    <w:rsid w:val="007E4933"/>
    <w:rsid w:val="007E53DB"/>
    <w:rsid w:val="007E57F0"/>
    <w:rsid w:val="007E6513"/>
    <w:rsid w:val="007E74AA"/>
    <w:rsid w:val="007F18B8"/>
    <w:rsid w:val="007F2F87"/>
    <w:rsid w:val="007F6B63"/>
    <w:rsid w:val="007F6F82"/>
    <w:rsid w:val="0080559C"/>
    <w:rsid w:val="00806201"/>
    <w:rsid w:val="008065A6"/>
    <w:rsid w:val="00806D58"/>
    <w:rsid w:val="00812854"/>
    <w:rsid w:val="00814A3D"/>
    <w:rsid w:val="00816988"/>
    <w:rsid w:val="00822D48"/>
    <w:rsid w:val="00823554"/>
    <w:rsid w:val="00824DE6"/>
    <w:rsid w:val="0082500E"/>
    <w:rsid w:val="0083033D"/>
    <w:rsid w:val="00831B8C"/>
    <w:rsid w:val="00833774"/>
    <w:rsid w:val="00842135"/>
    <w:rsid w:val="00854A34"/>
    <w:rsid w:val="0085713B"/>
    <w:rsid w:val="00857690"/>
    <w:rsid w:val="00873160"/>
    <w:rsid w:val="00873BA3"/>
    <w:rsid w:val="00874A74"/>
    <w:rsid w:val="00875BBF"/>
    <w:rsid w:val="008760F8"/>
    <w:rsid w:val="00880792"/>
    <w:rsid w:val="00881550"/>
    <w:rsid w:val="008834BC"/>
    <w:rsid w:val="0089267E"/>
    <w:rsid w:val="00894C86"/>
    <w:rsid w:val="008A2428"/>
    <w:rsid w:val="008A46FD"/>
    <w:rsid w:val="008A60F4"/>
    <w:rsid w:val="008B749B"/>
    <w:rsid w:val="008B75FA"/>
    <w:rsid w:val="008C0305"/>
    <w:rsid w:val="008C19CC"/>
    <w:rsid w:val="008C44E5"/>
    <w:rsid w:val="008C656E"/>
    <w:rsid w:val="008D2183"/>
    <w:rsid w:val="008D2439"/>
    <w:rsid w:val="008D24D4"/>
    <w:rsid w:val="008E29AD"/>
    <w:rsid w:val="008E5046"/>
    <w:rsid w:val="008E79EB"/>
    <w:rsid w:val="008F17B1"/>
    <w:rsid w:val="008F2521"/>
    <w:rsid w:val="008F6467"/>
    <w:rsid w:val="008F710E"/>
    <w:rsid w:val="009054D6"/>
    <w:rsid w:val="00911539"/>
    <w:rsid w:val="009116BF"/>
    <w:rsid w:val="00912E19"/>
    <w:rsid w:val="00914BDA"/>
    <w:rsid w:val="00915814"/>
    <w:rsid w:val="00922830"/>
    <w:rsid w:val="00932A18"/>
    <w:rsid w:val="00934AC8"/>
    <w:rsid w:val="00934E0F"/>
    <w:rsid w:val="00936A84"/>
    <w:rsid w:val="00941E8E"/>
    <w:rsid w:val="00942054"/>
    <w:rsid w:val="00942933"/>
    <w:rsid w:val="0094793D"/>
    <w:rsid w:val="009513E3"/>
    <w:rsid w:val="00954A3A"/>
    <w:rsid w:val="00955485"/>
    <w:rsid w:val="00957627"/>
    <w:rsid w:val="0096065C"/>
    <w:rsid w:val="00961C2E"/>
    <w:rsid w:val="009651FC"/>
    <w:rsid w:val="009676AF"/>
    <w:rsid w:val="0097127B"/>
    <w:rsid w:val="00976FEC"/>
    <w:rsid w:val="00977B26"/>
    <w:rsid w:val="0098640A"/>
    <w:rsid w:val="00987D55"/>
    <w:rsid w:val="00990596"/>
    <w:rsid w:val="009927EE"/>
    <w:rsid w:val="00992BC9"/>
    <w:rsid w:val="00992C74"/>
    <w:rsid w:val="00996938"/>
    <w:rsid w:val="00997838"/>
    <w:rsid w:val="009A1641"/>
    <w:rsid w:val="009A5625"/>
    <w:rsid w:val="009A6AFA"/>
    <w:rsid w:val="009A7A18"/>
    <w:rsid w:val="009B29F7"/>
    <w:rsid w:val="009B360C"/>
    <w:rsid w:val="009B400F"/>
    <w:rsid w:val="009B4992"/>
    <w:rsid w:val="009B5D2B"/>
    <w:rsid w:val="009C50F4"/>
    <w:rsid w:val="009C6BDF"/>
    <w:rsid w:val="009D0791"/>
    <w:rsid w:val="009D091F"/>
    <w:rsid w:val="009D33CC"/>
    <w:rsid w:val="009D7DCB"/>
    <w:rsid w:val="009E1715"/>
    <w:rsid w:val="009E1EE7"/>
    <w:rsid w:val="009E4323"/>
    <w:rsid w:val="009E4CC5"/>
    <w:rsid w:val="009E4D88"/>
    <w:rsid w:val="009E6AC2"/>
    <w:rsid w:val="009F0294"/>
    <w:rsid w:val="009F26CD"/>
    <w:rsid w:val="009F37AA"/>
    <w:rsid w:val="009F5432"/>
    <w:rsid w:val="009F69F2"/>
    <w:rsid w:val="009F733A"/>
    <w:rsid w:val="009F77C1"/>
    <w:rsid w:val="00A01049"/>
    <w:rsid w:val="00A057CE"/>
    <w:rsid w:val="00A05C39"/>
    <w:rsid w:val="00A157BE"/>
    <w:rsid w:val="00A1683B"/>
    <w:rsid w:val="00A203F7"/>
    <w:rsid w:val="00A2678A"/>
    <w:rsid w:val="00A2782E"/>
    <w:rsid w:val="00A304C9"/>
    <w:rsid w:val="00A32171"/>
    <w:rsid w:val="00A33D99"/>
    <w:rsid w:val="00A340CC"/>
    <w:rsid w:val="00A400AE"/>
    <w:rsid w:val="00A432C8"/>
    <w:rsid w:val="00A433EA"/>
    <w:rsid w:val="00A443F8"/>
    <w:rsid w:val="00A44839"/>
    <w:rsid w:val="00A4670A"/>
    <w:rsid w:val="00A47264"/>
    <w:rsid w:val="00A50CCE"/>
    <w:rsid w:val="00A53E07"/>
    <w:rsid w:val="00A53F32"/>
    <w:rsid w:val="00A5716C"/>
    <w:rsid w:val="00A6057F"/>
    <w:rsid w:val="00A61A3A"/>
    <w:rsid w:val="00A70689"/>
    <w:rsid w:val="00A70AED"/>
    <w:rsid w:val="00A72056"/>
    <w:rsid w:val="00A725C8"/>
    <w:rsid w:val="00A72B93"/>
    <w:rsid w:val="00A74586"/>
    <w:rsid w:val="00A76A94"/>
    <w:rsid w:val="00A8157E"/>
    <w:rsid w:val="00A84BDE"/>
    <w:rsid w:val="00A85464"/>
    <w:rsid w:val="00A91194"/>
    <w:rsid w:val="00A91DA6"/>
    <w:rsid w:val="00A93884"/>
    <w:rsid w:val="00A941BB"/>
    <w:rsid w:val="00AA1133"/>
    <w:rsid w:val="00AA1E06"/>
    <w:rsid w:val="00AA4B96"/>
    <w:rsid w:val="00AA72C6"/>
    <w:rsid w:val="00AA7B4C"/>
    <w:rsid w:val="00AB0763"/>
    <w:rsid w:val="00AB2CBD"/>
    <w:rsid w:val="00AC26FF"/>
    <w:rsid w:val="00AC2722"/>
    <w:rsid w:val="00AC468C"/>
    <w:rsid w:val="00AC7CAD"/>
    <w:rsid w:val="00AD0ABB"/>
    <w:rsid w:val="00AD2CC8"/>
    <w:rsid w:val="00AD34D5"/>
    <w:rsid w:val="00AD3879"/>
    <w:rsid w:val="00AD59E8"/>
    <w:rsid w:val="00AF04A4"/>
    <w:rsid w:val="00AF282F"/>
    <w:rsid w:val="00AF2C45"/>
    <w:rsid w:val="00AF6735"/>
    <w:rsid w:val="00B01F39"/>
    <w:rsid w:val="00B0231A"/>
    <w:rsid w:val="00B02AA9"/>
    <w:rsid w:val="00B02F99"/>
    <w:rsid w:val="00B041A5"/>
    <w:rsid w:val="00B04D39"/>
    <w:rsid w:val="00B065FE"/>
    <w:rsid w:val="00B119C1"/>
    <w:rsid w:val="00B14216"/>
    <w:rsid w:val="00B14704"/>
    <w:rsid w:val="00B21963"/>
    <w:rsid w:val="00B32E9C"/>
    <w:rsid w:val="00B41586"/>
    <w:rsid w:val="00B420C9"/>
    <w:rsid w:val="00B44F80"/>
    <w:rsid w:val="00B450C8"/>
    <w:rsid w:val="00B468E1"/>
    <w:rsid w:val="00B46C5B"/>
    <w:rsid w:val="00B508C9"/>
    <w:rsid w:val="00B54C3A"/>
    <w:rsid w:val="00B56130"/>
    <w:rsid w:val="00B575D6"/>
    <w:rsid w:val="00B7109D"/>
    <w:rsid w:val="00B71684"/>
    <w:rsid w:val="00B82A12"/>
    <w:rsid w:val="00B93AF0"/>
    <w:rsid w:val="00B96A0B"/>
    <w:rsid w:val="00B9726A"/>
    <w:rsid w:val="00BA0EFC"/>
    <w:rsid w:val="00BA4BF3"/>
    <w:rsid w:val="00BA660F"/>
    <w:rsid w:val="00BB05C1"/>
    <w:rsid w:val="00BB18CB"/>
    <w:rsid w:val="00BB28D3"/>
    <w:rsid w:val="00BB2DB4"/>
    <w:rsid w:val="00BB2E74"/>
    <w:rsid w:val="00BB387D"/>
    <w:rsid w:val="00BB49CD"/>
    <w:rsid w:val="00BB7DF5"/>
    <w:rsid w:val="00BC00D3"/>
    <w:rsid w:val="00BC1C6E"/>
    <w:rsid w:val="00BC384F"/>
    <w:rsid w:val="00BC3DF8"/>
    <w:rsid w:val="00BC5002"/>
    <w:rsid w:val="00BD17C9"/>
    <w:rsid w:val="00BD254E"/>
    <w:rsid w:val="00BE52A7"/>
    <w:rsid w:val="00BE5F03"/>
    <w:rsid w:val="00BE612D"/>
    <w:rsid w:val="00BF0877"/>
    <w:rsid w:val="00BF2064"/>
    <w:rsid w:val="00BF296C"/>
    <w:rsid w:val="00BF324C"/>
    <w:rsid w:val="00BF5F1C"/>
    <w:rsid w:val="00BF6A09"/>
    <w:rsid w:val="00BF7ACE"/>
    <w:rsid w:val="00C11F3B"/>
    <w:rsid w:val="00C12E5D"/>
    <w:rsid w:val="00C15D05"/>
    <w:rsid w:val="00C16805"/>
    <w:rsid w:val="00C17CD3"/>
    <w:rsid w:val="00C215D1"/>
    <w:rsid w:val="00C307EA"/>
    <w:rsid w:val="00C30C5F"/>
    <w:rsid w:val="00C34571"/>
    <w:rsid w:val="00C350F8"/>
    <w:rsid w:val="00C416E5"/>
    <w:rsid w:val="00C41A72"/>
    <w:rsid w:val="00C431DA"/>
    <w:rsid w:val="00C466E1"/>
    <w:rsid w:val="00C544B9"/>
    <w:rsid w:val="00C546B5"/>
    <w:rsid w:val="00C5797A"/>
    <w:rsid w:val="00C57A90"/>
    <w:rsid w:val="00C57D96"/>
    <w:rsid w:val="00C64552"/>
    <w:rsid w:val="00C71710"/>
    <w:rsid w:val="00C73A44"/>
    <w:rsid w:val="00C80168"/>
    <w:rsid w:val="00C801E3"/>
    <w:rsid w:val="00C80E67"/>
    <w:rsid w:val="00C869E6"/>
    <w:rsid w:val="00C90A2A"/>
    <w:rsid w:val="00C90E16"/>
    <w:rsid w:val="00C90FDF"/>
    <w:rsid w:val="00CB192E"/>
    <w:rsid w:val="00CB2EC0"/>
    <w:rsid w:val="00CB36FC"/>
    <w:rsid w:val="00CB4675"/>
    <w:rsid w:val="00CB7A39"/>
    <w:rsid w:val="00CC0128"/>
    <w:rsid w:val="00CC6A8F"/>
    <w:rsid w:val="00CD7BF7"/>
    <w:rsid w:val="00CE0957"/>
    <w:rsid w:val="00CE202C"/>
    <w:rsid w:val="00CE3A8C"/>
    <w:rsid w:val="00CE400E"/>
    <w:rsid w:val="00CE4585"/>
    <w:rsid w:val="00CE46E5"/>
    <w:rsid w:val="00CE7691"/>
    <w:rsid w:val="00CF0426"/>
    <w:rsid w:val="00CF04EB"/>
    <w:rsid w:val="00CF2507"/>
    <w:rsid w:val="00CF5408"/>
    <w:rsid w:val="00CF7820"/>
    <w:rsid w:val="00CF7DA3"/>
    <w:rsid w:val="00D01CC1"/>
    <w:rsid w:val="00D0233D"/>
    <w:rsid w:val="00D03F2C"/>
    <w:rsid w:val="00D059E9"/>
    <w:rsid w:val="00D0624F"/>
    <w:rsid w:val="00D06780"/>
    <w:rsid w:val="00D06897"/>
    <w:rsid w:val="00D07CAA"/>
    <w:rsid w:val="00D13F53"/>
    <w:rsid w:val="00D15387"/>
    <w:rsid w:val="00D155E8"/>
    <w:rsid w:val="00D1624F"/>
    <w:rsid w:val="00D207C3"/>
    <w:rsid w:val="00D24E94"/>
    <w:rsid w:val="00D2751D"/>
    <w:rsid w:val="00D30FCF"/>
    <w:rsid w:val="00D35CB3"/>
    <w:rsid w:val="00D375F0"/>
    <w:rsid w:val="00D37CF4"/>
    <w:rsid w:val="00D44C60"/>
    <w:rsid w:val="00D44F90"/>
    <w:rsid w:val="00D46951"/>
    <w:rsid w:val="00D46960"/>
    <w:rsid w:val="00D507D8"/>
    <w:rsid w:val="00D50FB9"/>
    <w:rsid w:val="00D52E0F"/>
    <w:rsid w:val="00D53A5A"/>
    <w:rsid w:val="00D571DA"/>
    <w:rsid w:val="00D606BB"/>
    <w:rsid w:val="00D67543"/>
    <w:rsid w:val="00D71A00"/>
    <w:rsid w:val="00D71D7A"/>
    <w:rsid w:val="00D757B1"/>
    <w:rsid w:val="00D77756"/>
    <w:rsid w:val="00D8446E"/>
    <w:rsid w:val="00D85C19"/>
    <w:rsid w:val="00D863A5"/>
    <w:rsid w:val="00D879DA"/>
    <w:rsid w:val="00D9041F"/>
    <w:rsid w:val="00D92BDF"/>
    <w:rsid w:val="00D92D3B"/>
    <w:rsid w:val="00D9354A"/>
    <w:rsid w:val="00D93610"/>
    <w:rsid w:val="00D93ABC"/>
    <w:rsid w:val="00D96EA5"/>
    <w:rsid w:val="00D97F6B"/>
    <w:rsid w:val="00DA14F4"/>
    <w:rsid w:val="00DA3100"/>
    <w:rsid w:val="00DA3646"/>
    <w:rsid w:val="00DA37AB"/>
    <w:rsid w:val="00DA38C4"/>
    <w:rsid w:val="00DB4D49"/>
    <w:rsid w:val="00DB68C2"/>
    <w:rsid w:val="00DB705C"/>
    <w:rsid w:val="00DB7C11"/>
    <w:rsid w:val="00DC1ABC"/>
    <w:rsid w:val="00DC2880"/>
    <w:rsid w:val="00DD24CE"/>
    <w:rsid w:val="00DD3DD6"/>
    <w:rsid w:val="00DD3F58"/>
    <w:rsid w:val="00DD4943"/>
    <w:rsid w:val="00DD4CE3"/>
    <w:rsid w:val="00DD629F"/>
    <w:rsid w:val="00DD70D9"/>
    <w:rsid w:val="00DE04EB"/>
    <w:rsid w:val="00DE3C50"/>
    <w:rsid w:val="00DE5970"/>
    <w:rsid w:val="00DE6E9A"/>
    <w:rsid w:val="00DE7EFA"/>
    <w:rsid w:val="00DF2DC3"/>
    <w:rsid w:val="00DF68E4"/>
    <w:rsid w:val="00DF76A6"/>
    <w:rsid w:val="00E01A28"/>
    <w:rsid w:val="00E01AAB"/>
    <w:rsid w:val="00E04B42"/>
    <w:rsid w:val="00E06933"/>
    <w:rsid w:val="00E06BA1"/>
    <w:rsid w:val="00E11270"/>
    <w:rsid w:val="00E12C58"/>
    <w:rsid w:val="00E1357D"/>
    <w:rsid w:val="00E1401B"/>
    <w:rsid w:val="00E145A1"/>
    <w:rsid w:val="00E15600"/>
    <w:rsid w:val="00E17A51"/>
    <w:rsid w:val="00E2092B"/>
    <w:rsid w:val="00E22B05"/>
    <w:rsid w:val="00E2420A"/>
    <w:rsid w:val="00E248E5"/>
    <w:rsid w:val="00E26B93"/>
    <w:rsid w:val="00E304B4"/>
    <w:rsid w:val="00E31248"/>
    <w:rsid w:val="00E334DA"/>
    <w:rsid w:val="00E347FA"/>
    <w:rsid w:val="00E34ACF"/>
    <w:rsid w:val="00E402AE"/>
    <w:rsid w:val="00E42FF3"/>
    <w:rsid w:val="00E51548"/>
    <w:rsid w:val="00E518E0"/>
    <w:rsid w:val="00E5389E"/>
    <w:rsid w:val="00E60F99"/>
    <w:rsid w:val="00E70882"/>
    <w:rsid w:val="00E73528"/>
    <w:rsid w:val="00E76F42"/>
    <w:rsid w:val="00E777B5"/>
    <w:rsid w:val="00E81AFA"/>
    <w:rsid w:val="00E8262E"/>
    <w:rsid w:val="00E8452A"/>
    <w:rsid w:val="00E91166"/>
    <w:rsid w:val="00E93F10"/>
    <w:rsid w:val="00E9416A"/>
    <w:rsid w:val="00E942CB"/>
    <w:rsid w:val="00E95D79"/>
    <w:rsid w:val="00EA11B8"/>
    <w:rsid w:val="00EA1574"/>
    <w:rsid w:val="00EA3C21"/>
    <w:rsid w:val="00EA59EF"/>
    <w:rsid w:val="00EB0AA4"/>
    <w:rsid w:val="00EB5996"/>
    <w:rsid w:val="00EB73BA"/>
    <w:rsid w:val="00EC150B"/>
    <w:rsid w:val="00EC606C"/>
    <w:rsid w:val="00EC7CF1"/>
    <w:rsid w:val="00ED1F29"/>
    <w:rsid w:val="00ED50A9"/>
    <w:rsid w:val="00ED5D7F"/>
    <w:rsid w:val="00EE0FAA"/>
    <w:rsid w:val="00EE41DD"/>
    <w:rsid w:val="00EE5816"/>
    <w:rsid w:val="00EF251B"/>
    <w:rsid w:val="00EF390C"/>
    <w:rsid w:val="00EF5B77"/>
    <w:rsid w:val="00EF5CF4"/>
    <w:rsid w:val="00EF6A87"/>
    <w:rsid w:val="00EF7EDD"/>
    <w:rsid w:val="00F00852"/>
    <w:rsid w:val="00F01371"/>
    <w:rsid w:val="00F071AE"/>
    <w:rsid w:val="00F10356"/>
    <w:rsid w:val="00F11B35"/>
    <w:rsid w:val="00F17DDD"/>
    <w:rsid w:val="00F21E4A"/>
    <w:rsid w:val="00F228F6"/>
    <w:rsid w:val="00F22DE0"/>
    <w:rsid w:val="00F23E4C"/>
    <w:rsid w:val="00F24A2B"/>
    <w:rsid w:val="00F24CD9"/>
    <w:rsid w:val="00F2615B"/>
    <w:rsid w:val="00F26AEF"/>
    <w:rsid w:val="00F2745F"/>
    <w:rsid w:val="00F3265D"/>
    <w:rsid w:val="00F3626E"/>
    <w:rsid w:val="00F376A6"/>
    <w:rsid w:val="00F37B55"/>
    <w:rsid w:val="00F4128D"/>
    <w:rsid w:val="00F4233A"/>
    <w:rsid w:val="00F440FB"/>
    <w:rsid w:val="00F5396E"/>
    <w:rsid w:val="00F5468F"/>
    <w:rsid w:val="00F566F4"/>
    <w:rsid w:val="00F579C9"/>
    <w:rsid w:val="00F60F46"/>
    <w:rsid w:val="00F70903"/>
    <w:rsid w:val="00F716EC"/>
    <w:rsid w:val="00F738BB"/>
    <w:rsid w:val="00F7424B"/>
    <w:rsid w:val="00F77C2E"/>
    <w:rsid w:val="00F863EB"/>
    <w:rsid w:val="00F86B98"/>
    <w:rsid w:val="00F90B8A"/>
    <w:rsid w:val="00F90FCE"/>
    <w:rsid w:val="00F92B1C"/>
    <w:rsid w:val="00F9448D"/>
    <w:rsid w:val="00F947B5"/>
    <w:rsid w:val="00F94C6B"/>
    <w:rsid w:val="00F968A2"/>
    <w:rsid w:val="00F975D6"/>
    <w:rsid w:val="00FA000F"/>
    <w:rsid w:val="00FB13D2"/>
    <w:rsid w:val="00FB265D"/>
    <w:rsid w:val="00FB29E9"/>
    <w:rsid w:val="00FB41F6"/>
    <w:rsid w:val="00FB45C4"/>
    <w:rsid w:val="00FC3953"/>
    <w:rsid w:val="00FC43BA"/>
    <w:rsid w:val="00FC7A42"/>
    <w:rsid w:val="00FC7E05"/>
    <w:rsid w:val="00FD1C86"/>
    <w:rsid w:val="00FD48AA"/>
    <w:rsid w:val="00FD63D5"/>
    <w:rsid w:val="00FD72F4"/>
    <w:rsid w:val="00FE0234"/>
    <w:rsid w:val="00FE0C85"/>
    <w:rsid w:val="00FE12B0"/>
    <w:rsid w:val="00FF22B5"/>
    <w:rsid w:val="00FF3E39"/>
    <w:rsid w:val="00FF4900"/>
    <w:rsid w:val="00FF6739"/>
    <w:rsid w:val="01097900"/>
    <w:rsid w:val="01221D81"/>
    <w:rsid w:val="01AF7185"/>
    <w:rsid w:val="01F45582"/>
    <w:rsid w:val="03932510"/>
    <w:rsid w:val="039E565E"/>
    <w:rsid w:val="048F7680"/>
    <w:rsid w:val="04AA74F8"/>
    <w:rsid w:val="04BB65B5"/>
    <w:rsid w:val="04D55E35"/>
    <w:rsid w:val="054D733B"/>
    <w:rsid w:val="058008F5"/>
    <w:rsid w:val="065F49EE"/>
    <w:rsid w:val="06787E06"/>
    <w:rsid w:val="06FA1A25"/>
    <w:rsid w:val="077F749D"/>
    <w:rsid w:val="07C2036D"/>
    <w:rsid w:val="07EE27C7"/>
    <w:rsid w:val="08196F2F"/>
    <w:rsid w:val="081B3EA4"/>
    <w:rsid w:val="083D16CB"/>
    <w:rsid w:val="0882554E"/>
    <w:rsid w:val="08905245"/>
    <w:rsid w:val="09404C51"/>
    <w:rsid w:val="09BF43B7"/>
    <w:rsid w:val="09CC3074"/>
    <w:rsid w:val="0AF81AF7"/>
    <w:rsid w:val="0B2D2CA5"/>
    <w:rsid w:val="0B2F2023"/>
    <w:rsid w:val="0B9D0F8E"/>
    <w:rsid w:val="0BA05901"/>
    <w:rsid w:val="0BB90F07"/>
    <w:rsid w:val="0BE75E31"/>
    <w:rsid w:val="0C010D32"/>
    <w:rsid w:val="0C87661C"/>
    <w:rsid w:val="0CDD66FE"/>
    <w:rsid w:val="0CFA4111"/>
    <w:rsid w:val="0D4728C2"/>
    <w:rsid w:val="0D8A1C4C"/>
    <w:rsid w:val="0DA9609F"/>
    <w:rsid w:val="0DCD2D46"/>
    <w:rsid w:val="0EAB3EBB"/>
    <w:rsid w:val="0F484589"/>
    <w:rsid w:val="0F494550"/>
    <w:rsid w:val="0FA508AD"/>
    <w:rsid w:val="0FF54122"/>
    <w:rsid w:val="105B4A8F"/>
    <w:rsid w:val="10C85AC8"/>
    <w:rsid w:val="10D83B8C"/>
    <w:rsid w:val="10F117D4"/>
    <w:rsid w:val="11D33E86"/>
    <w:rsid w:val="11E130AE"/>
    <w:rsid w:val="126876A1"/>
    <w:rsid w:val="12753D38"/>
    <w:rsid w:val="12CE6C8E"/>
    <w:rsid w:val="12E327A8"/>
    <w:rsid w:val="131D0306"/>
    <w:rsid w:val="135C6F57"/>
    <w:rsid w:val="13A02D2C"/>
    <w:rsid w:val="13D92777"/>
    <w:rsid w:val="13F645D8"/>
    <w:rsid w:val="14013711"/>
    <w:rsid w:val="146901E2"/>
    <w:rsid w:val="14B13654"/>
    <w:rsid w:val="153506C8"/>
    <w:rsid w:val="153557FB"/>
    <w:rsid w:val="15F1021C"/>
    <w:rsid w:val="167B3926"/>
    <w:rsid w:val="17455DC7"/>
    <w:rsid w:val="17511E17"/>
    <w:rsid w:val="176127A1"/>
    <w:rsid w:val="18804881"/>
    <w:rsid w:val="191775ED"/>
    <w:rsid w:val="191F62E1"/>
    <w:rsid w:val="196577EB"/>
    <w:rsid w:val="19A90B8D"/>
    <w:rsid w:val="1A4B034C"/>
    <w:rsid w:val="1A4E59C4"/>
    <w:rsid w:val="1A6F282E"/>
    <w:rsid w:val="1B7A5F6C"/>
    <w:rsid w:val="1B894386"/>
    <w:rsid w:val="1B8F1BE0"/>
    <w:rsid w:val="1BB23EB4"/>
    <w:rsid w:val="1C694C17"/>
    <w:rsid w:val="1CAC629E"/>
    <w:rsid w:val="1D6C3FED"/>
    <w:rsid w:val="1DB16262"/>
    <w:rsid w:val="1DEE315D"/>
    <w:rsid w:val="1E761259"/>
    <w:rsid w:val="1E8525EE"/>
    <w:rsid w:val="1E872123"/>
    <w:rsid w:val="1EA13A5D"/>
    <w:rsid w:val="1EA243F8"/>
    <w:rsid w:val="1ECC2DC5"/>
    <w:rsid w:val="1EF6133F"/>
    <w:rsid w:val="1F1E3D49"/>
    <w:rsid w:val="1F564C8B"/>
    <w:rsid w:val="1FBC58C8"/>
    <w:rsid w:val="205A2300"/>
    <w:rsid w:val="209D655D"/>
    <w:rsid w:val="217C73E2"/>
    <w:rsid w:val="21A516EF"/>
    <w:rsid w:val="21A575DC"/>
    <w:rsid w:val="22460F43"/>
    <w:rsid w:val="227E5E80"/>
    <w:rsid w:val="22AF510F"/>
    <w:rsid w:val="22F015DA"/>
    <w:rsid w:val="230961F8"/>
    <w:rsid w:val="23C554A9"/>
    <w:rsid w:val="24042E63"/>
    <w:rsid w:val="2482473C"/>
    <w:rsid w:val="24992148"/>
    <w:rsid w:val="24C2143A"/>
    <w:rsid w:val="24C4382C"/>
    <w:rsid w:val="24CD7217"/>
    <w:rsid w:val="24D75675"/>
    <w:rsid w:val="25AC47B1"/>
    <w:rsid w:val="263F6282"/>
    <w:rsid w:val="266F3ECF"/>
    <w:rsid w:val="26BF2F84"/>
    <w:rsid w:val="26F7782E"/>
    <w:rsid w:val="27061D83"/>
    <w:rsid w:val="272A581A"/>
    <w:rsid w:val="279D725B"/>
    <w:rsid w:val="27AB56FA"/>
    <w:rsid w:val="27C71131"/>
    <w:rsid w:val="27E56BE0"/>
    <w:rsid w:val="2811057F"/>
    <w:rsid w:val="28796D98"/>
    <w:rsid w:val="28CF4007"/>
    <w:rsid w:val="28E31739"/>
    <w:rsid w:val="28E45E54"/>
    <w:rsid w:val="295278EB"/>
    <w:rsid w:val="29991CAD"/>
    <w:rsid w:val="29EE6AA8"/>
    <w:rsid w:val="2A767065"/>
    <w:rsid w:val="2AD00C25"/>
    <w:rsid w:val="2AD90BA6"/>
    <w:rsid w:val="2AEA6D8C"/>
    <w:rsid w:val="2AED1087"/>
    <w:rsid w:val="2B340F7D"/>
    <w:rsid w:val="2B66572B"/>
    <w:rsid w:val="2BD52530"/>
    <w:rsid w:val="2BE8128B"/>
    <w:rsid w:val="2C0F0E08"/>
    <w:rsid w:val="2C105E03"/>
    <w:rsid w:val="2CA15D49"/>
    <w:rsid w:val="2CAF3D38"/>
    <w:rsid w:val="2D485B6F"/>
    <w:rsid w:val="2D8E7A34"/>
    <w:rsid w:val="2E9F43E1"/>
    <w:rsid w:val="2EA63538"/>
    <w:rsid w:val="2EBA048D"/>
    <w:rsid w:val="2EC73B0D"/>
    <w:rsid w:val="2F3F2FA2"/>
    <w:rsid w:val="2FAB78CA"/>
    <w:rsid w:val="3000749A"/>
    <w:rsid w:val="300264A9"/>
    <w:rsid w:val="307039FE"/>
    <w:rsid w:val="308415B4"/>
    <w:rsid w:val="30F8429A"/>
    <w:rsid w:val="314E4ABA"/>
    <w:rsid w:val="319D5AD5"/>
    <w:rsid w:val="31A817A2"/>
    <w:rsid w:val="31B11AB0"/>
    <w:rsid w:val="32193C8E"/>
    <w:rsid w:val="32964AEB"/>
    <w:rsid w:val="32D54D6F"/>
    <w:rsid w:val="332E2F50"/>
    <w:rsid w:val="337B66DE"/>
    <w:rsid w:val="33C73ABF"/>
    <w:rsid w:val="34006B60"/>
    <w:rsid w:val="345E5D91"/>
    <w:rsid w:val="35325A82"/>
    <w:rsid w:val="354E3F3E"/>
    <w:rsid w:val="35696D4B"/>
    <w:rsid w:val="35B01563"/>
    <w:rsid w:val="35B51C7B"/>
    <w:rsid w:val="35E93C67"/>
    <w:rsid w:val="36F51F56"/>
    <w:rsid w:val="370E21A8"/>
    <w:rsid w:val="373858F7"/>
    <w:rsid w:val="37C91833"/>
    <w:rsid w:val="37CE4131"/>
    <w:rsid w:val="37E970D3"/>
    <w:rsid w:val="381258D8"/>
    <w:rsid w:val="385B7D64"/>
    <w:rsid w:val="39587F59"/>
    <w:rsid w:val="396C7089"/>
    <w:rsid w:val="39777F08"/>
    <w:rsid w:val="39825C3A"/>
    <w:rsid w:val="39F055FC"/>
    <w:rsid w:val="3A5172C7"/>
    <w:rsid w:val="3A95460F"/>
    <w:rsid w:val="3AC941C7"/>
    <w:rsid w:val="3BC46D0D"/>
    <w:rsid w:val="3C025A83"/>
    <w:rsid w:val="3C4C0E9A"/>
    <w:rsid w:val="3DF8713D"/>
    <w:rsid w:val="3F295782"/>
    <w:rsid w:val="3F6F3E20"/>
    <w:rsid w:val="3F7403DE"/>
    <w:rsid w:val="3F752CB3"/>
    <w:rsid w:val="3FF93727"/>
    <w:rsid w:val="4021562C"/>
    <w:rsid w:val="4068300D"/>
    <w:rsid w:val="41DF285D"/>
    <w:rsid w:val="42450E1B"/>
    <w:rsid w:val="427E3BF4"/>
    <w:rsid w:val="43662085"/>
    <w:rsid w:val="43977138"/>
    <w:rsid w:val="43B84441"/>
    <w:rsid w:val="445D79D1"/>
    <w:rsid w:val="449348EF"/>
    <w:rsid w:val="44B97DEC"/>
    <w:rsid w:val="44FE772F"/>
    <w:rsid w:val="453E3FCF"/>
    <w:rsid w:val="455523B8"/>
    <w:rsid w:val="45F75BDB"/>
    <w:rsid w:val="465C1117"/>
    <w:rsid w:val="467754DB"/>
    <w:rsid w:val="46C91677"/>
    <w:rsid w:val="46E21B0B"/>
    <w:rsid w:val="47121270"/>
    <w:rsid w:val="471D0881"/>
    <w:rsid w:val="478F1369"/>
    <w:rsid w:val="48B61B3F"/>
    <w:rsid w:val="495B00F5"/>
    <w:rsid w:val="49F51BA1"/>
    <w:rsid w:val="4A3A70A2"/>
    <w:rsid w:val="4A4A01EF"/>
    <w:rsid w:val="4A5059D6"/>
    <w:rsid w:val="4AC972E5"/>
    <w:rsid w:val="4B0E1D4E"/>
    <w:rsid w:val="4B315885"/>
    <w:rsid w:val="4BD10D84"/>
    <w:rsid w:val="4C011AEB"/>
    <w:rsid w:val="4C325BBB"/>
    <w:rsid w:val="4C341BA2"/>
    <w:rsid w:val="4C830182"/>
    <w:rsid w:val="4CDF35FE"/>
    <w:rsid w:val="4D5122DA"/>
    <w:rsid w:val="4DE53999"/>
    <w:rsid w:val="4E280EA4"/>
    <w:rsid w:val="4EB831D3"/>
    <w:rsid w:val="4F2C09F8"/>
    <w:rsid w:val="4F32735E"/>
    <w:rsid w:val="50140D8E"/>
    <w:rsid w:val="5048021E"/>
    <w:rsid w:val="50B42681"/>
    <w:rsid w:val="50BC3FFA"/>
    <w:rsid w:val="515D1C50"/>
    <w:rsid w:val="516C5CA9"/>
    <w:rsid w:val="517223CC"/>
    <w:rsid w:val="5176689F"/>
    <w:rsid w:val="519D2AE6"/>
    <w:rsid w:val="51BD5D96"/>
    <w:rsid w:val="51D55BBB"/>
    <w:rsid w:val="52437864"/>
    <w:rsid w:val="52A8144C"/>
    <w:rsid w:val="52DF09A7"/>
    <w:rsid w:val="533A6B93"/>
    <w:rsid w:val="53511372"/>
    <w:rsid w:val="5355232B"/>
    <w:rsid w:val="53757D24"/>
    <w:rsid w:val="53DC10D5"/>
    <w:rsid w:val="53F450F9"/>
    <w:rsid w:val="54386E4E"/>
    <w:rsid w:val="544070C7"/>
    <w:rsid w:val="548D0188"/>
    <w:rsid w:val="54977BCB"/>
    <w:rsid w:val="552D3719"/>
    <w:rsid w:val="55326CEB"/>
    <w:rsid w:val="553417DD"/>
    <w:rsid w:val="558121F0"/>
    <w:rsid w:val="56327F77"/>
    <w:rsid w:val="563B4BB8"/>
    <w:rsid w:val="56F821EA"/>
    <w:rsid w:val="57DF617A"/>
    <w:rsid w:val="581B7A90"/>
    <w:rsid w:val="58566D04"/>
    <w:rsid w:val="587C301E"/>
    <w:rsid w:val="58935F89"/>
    <w:rsid w:val="58C231CC"/>
    <w:rsid w:val="59792BB2"/>
    <w:rsid w:val="59A74DBF"/>
    <w:rsid w:val="59ED3476"/>
    <w:rsid w:val="5A9164F8"/>
    <w:rsid w:val="5ACD75AD"/>
    <w:rsid w:val="5B397B39"/>
    <w:rsid w:val="5B702590"/>
    <w:rsid w:val="5BB07885"/>
    <w:rsid w:val="5BC74137"/>
    <w:rsid w:val="5BE55873"/>
    <w:rsid w:val="5C1E476E"/>
    <w:rsid w:val="5C384E7D"/>
    <w:rsid w:val="5C4C7B25"/>
    <w:rsid w:val="5C891B7C"/>
    <w:rsid w:val="5C9403AC"/>
    <w:rsid w:val="5C9627BF"/>
    <w:rsid w:val="5C9B079E"/>
    <w:rsid w:val="5CB63FF4"/>
    <w:rsid w:val="5CD45F07"/>
    <w:rsid w:val="5CD5364C"/>
    <w:rsid w:val="5CF53CAB"/>
    <w:rsid w:val="5D313163"/>
    <w:rsid w:val="5D514312"/>
    <w:rsid w:val="5D6B37C6"/>
    <w:rsid w:val="5DC83721"/>
    <w:rsid w:val="5DDA3F3B"/>
    <w:rsid w:val="5EC97FBB"/>
    <w:rsid w:val="5EE81A12"/>
    <w:rsid w:val="5F172303"/>
    <w:rsid w:val="5FCB425A"/>
    <w:rsid w:val="60194FC5"/>
    <w:rsid w:val="606205FB"/>
    <w:rsid w:val="60DE379C"/>
    <w:rsid w:val="611C5D71"/>
    <w:rsid w:val="617C2004"/>
    <w:rsid w:val="61994610"/>
    <w:rsid w:val="61A052D2"/>
    <w:rsid w:val="621409C5"/>
    <w:rsid w:val="623B7475"/>
    <w:rsid w:val="623F6C67"/>
    <w:rsid w:val="625851AF"/>
    <w:rsid w:val="62BC3988"/>
    <w:rsid w:val="63010F0E"/>
    <w:rsid w:val="631B5B3F"/>
    <w:rsid w:val="63794F83"/>
    <w:rsid w:val="63CB2A7A"/>
    <w:rsid w:val="642E30FB"/>
    <w:rsid w:val="65754893"/>
    <w:rsid w:val="65946A6A"/>
    <w:rsid w:val="65D049A3"/>
    <w:rsid w:val="65DF0A5F"/>
    <w:rsid w:val="65DF6AB8"/>
    <w:rsid w:val="65F80403"/>
    <w:rsid w:val="661D1C38"/>
    <w:rsid w:val="66305229"/>
    <w:rsid w:val="66A6312A"/>
    <w:rsid w:val="67062EA1"/>
    <w:rsid w:val="67403D4C"/>
    <w:rsid w:val="67C4162A"/>
    <w:rsid w:val="67CC599C"/>
    <w:rsid w:val="67D72A3B"/>
    <w:rsid w:val="67DF5E45"/>
    <w:rsid w:val="683465F3"/>
    <w:rsid w:val="68444BA9"/>
    <w:rsid w:val="6869596A"/>
    <w:rsid w:val="68B121B0"/>
    <w:rsid w:val="68E35130"/>
    <w:rsid w:val="68F93BE6"/>
    <w:rsid w:val="6AE81680"/>
    <w:rsid w:val="6B325B2D"/>
    <w:rsid w:val="6B602676"/>
    <w:rsid w:val="6C4F2F27"/>
    <w:rsid w:val="6C4F3860"/>
    <w:rsid w:val="6C6D15D7"/>
    <w:rsid w:val="6CBF5146"/>
    <w:rsid w:val="6D026E95"/>
    <w:rsid w:val="6D1F1230"/>
    <w:rsid w:val="6D556218"/>
    <w:rsid w:val="6D897906"/>
    <w:rsid w:val="6D8F14A0"/>
    <w:rsid w:val="6DC67DE3"/>
    <w:rsid w:val="6DDF689B"/>
    <w:rsid w:val="6E1377EF"/>
    <w:rsid w:val="6E153270"/>
    <w:rsid w:val="6E3448E6"/>
    <w:rsid w:val="6EF85851"/>
    <w:rsid w:val="6F12155D"/>
    <w:rsid w:val="6F2B4FBD"/>
    <w:rsid w:val="6F3F60CB"/>
    <w:rsid w:val="6F5262DA"/>
    <w:rsid w:val="6F9200E9"/>
    <w:rsid w:val="6F975F07"/>
    <w:rsid w:val="6F9C629F"/>
    <w:rsid w:val="6FF46241"/>
    <w:rsid w:val="700C09C6"/>
    <w:rsid w:val="705E0F5B"/>
    <w:rsid w:val="706E107C"/>
    <w:rsid w:val="70ED27B5"/>
    <w:rsid w:val="71325C95"/>
    <w:rsid w:val="71AD1A11"/>
    <w:rsid w:val="7248031D"/>
    <w:rsid w:val="727053FB"/>
    <w:rsid w:val="72796FDF"/>
    <w:rsid w:val="73D94673"/>
    <w:rsid w:val="73F121F5"/>
    <w:rsid w:val="746A4FB1"/>
    <w:rsid w:val="74AD2690"/>
    <w:rsid w:val="74C36E26"/>
    <w:rsid w:val="76695353"/>
    <w:rsid w:val="76D642FC"/>
    <w:rsid w:val="76D7727D"/>
    <w:rsid w:val="76EC2A42"/>
    <w:rsid w:val="777C610E"/>
    <w:rsid w:val="78252DB3"/>
    <w:rsid w:val="78654DF4"/>
    <w:rsid w:val="79512E06"/>
    <w:rsid w:val="79754BD4"/>
    <w:rsid w:val="79933C5A"/>
    <w:rsid w:val="7A1A04A7"/>
    <w:rsid w:val="7A72116B"/>
    <w:rsid w:val="7A7B575D"/>
    <w:rsid w:val="7AF6251E"/>
    <w:rsid w:val="7B0E7D3D"/>
    <w:rsid w:val="7B302F3D"/>
    <w:rsid w:val="7B307684"/>
    <w:rsid w:val="7B614FF2"/>
    <w:rsid w:val="7B707D38"/>
    <w:rsid w:val="7BA07728"/>
    <w:rsid w:val="7C183F2B"/>
    <w:rsid w:val="7C921CEE"/>
    <w:rsid w:val="7CBD3837"/>
    <w:rsid w:val="7CC610DF"/>
    <w:rsid w:val="7D265250"/>
    <w:rsid w:val="7D376633"/>
    <w:rsid w:val="7DA96253"/>
    <w:rsid w:val="7DE74669"/>
    <w:rsid w:val="7E1563B9"/>
    <w:rsid w:val="7E521976"/>
    <w:rsid w:val="7EC9775F"/>
    <w:rsid w:val="7F186899"/>
    <w:rsid w:val="7F35052A"/>
    <w:rsid w:val="7F671451"/>
    <w:rsid w:val="7F971B38"/>
    <w:rsid w:val="7FB75F6B"/>
    <w:rsid w:val="7FC140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0"/>
    <w:qFormat/>
    <w:uiPriority w:val="0"/>
    <w:pPr>
      <w:keepNext/>
      <w:widowControl/>
      <w:snapToGrid w:val="0"/>
      <w:spacing w:line="360" w:lineRule="atLeast"/>
      <w:jc w:val="left"/>
      <w:outlineLvl w:val="0"/>
    </w:pPr>
    <w:rPr>
      <w:b/>
      <w:bCs/>
      <w:kern w:val="44"/>
      <w:sz w:val="44"/>
      <w:szCs w:val="44"/>
    </w:rPr>
  </w:style>
  <w:style w:type="paragraph" w:styleId="4">
    <w:name w:val="heading 2"/>
    <w:basedOn w:val="1"/>
    <w:next w:val="1"/>
    <w:link w:val="58"/>
    <w:qFormat/>
    <w:uiPriority w:val="0"/>
    <w:pPr>
      <w:keepNext/>
      <w:keepLines/>
      <w:spacing w:before="260" w:after="260" w:line="413" w:lineRule="auto"/>
      <w:outlineLvl w:val="1"/>
    </w:pPr>
    <w:rPr>
      <w:rFonts w:ascii="Cambria" w:hAnsi="Cambria"/>
      <w:b/>
      <w:bCs/>
      <w:kern w:val="0"/>
      <w:sz w:val="32"/>
      <w:szCs w:val="32"/>
    </w:rPr>
  </w:style>
  <w:style w:type="paragraph" w:styleId="5">
    <w:name w:val="heading 3"/>
    <w:basedOn w:val="1"/>
    <w:next w:val="1"/>
    <w:link w:val="64"/>
    <w:qFormat/>
    <w:uiPriority w:val="0"/>
    <w:pPr>
      <w:keepNext/>
      <w:keepLines/>
      <w:spacing w:before="260" w:after="260" w:line="413" w:lineRule="auto"/>
      <w:outlineLvl w:val="2"/>
    </w:pPr>
    <w:rPr>
      <w:b/>
      <w:bCs/>
      <w:kern w:val="0"/>
      <w:sz w:val="32"/>
      <w:szCs w:val="32"/>
    </w:rPr>
  </w:style>
  <w:style w:type="paragraph" w:styleId="6">
    <w:name w:val="heading 4"/>
    <w:basedOn w:val="1"/>
    <w:next w:val="1"/>
    <w:qFormat/>
    <w:locked/>
    <w:uiPriority w:val="0"/>
    <w:pPr>
      <w:keepNext/>
      <w:keepLines/>
      <w:numPr>
        <w:ilvl w:val="0"/>
        <w:numId w:val="1"/>
      </w:numPr>
      <w:spacing w:line="377" w:lineRule="auto"/>
      <w:outlineLvl w:val="3"/>
    </w:pPr>
    <w:rPr>
      <w:rFonts w:ascii="Arial" w:hAnsi="Arial" w:eastAsia="黑体"/>
      <w:b/>
    </w:rPr>
  </w:style>
  <w:style w:type="character" w:default="1" w:styleId="26">
    <w:name w:val="Default Paragraph Font"/>
    <w:semiHidden/>
    <w:qFormat/>
    <w:uiPriority w:val="0"/>
  </w:style>
  <w:style w:type="table" w:default="1" w:styleId="31">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39"/>
  </w:style>
  <w:style w:type="paragraph" w:styleId="7">
    <w:name w:val="annotation subject"/>
    <w:basedOn w:val="8"/>
    <w:next w:val="8"/>
    <w:link w:val="57"/>
    <w:semiHidden/>
    <w:qFormat/>
    <w:uiPriority w:val="0"/>
    <w:rPr>
      <w:b/>
      <w:bCs/>
    </w:rPr>
  </w:style>
  <w:style w:type="paragraph" w:styleId="8">
    <w:name w:val="annotation text"/>
    <w:basedOn w:val="1"/>
    <w:link w:val="62"/>
    <w:semiHidden/>
    <w:qFormat/>
    <w:uiPriority w:val="0"/>
    <w:pPr>
      <w:jc w:val="left"/>
    </w:pPr>
  </w:style>
  <w:style w:type="paragraph" w:styleId="9">
    <w:name w:val="Body Text First Indent"/>
    <w:basedOn w:val="10"/>
    <w:next w:val="1"/>
    <w:qFormat/>
    <w:uiPriority w:val="0"/>
    <w:pPr>
      <w:spacing w:line="360" w:lineRule="auto"/>
      <w:ind w:firstLine="420"/>
    </w:pPr>
    <w:rPr>
      <w:rFonts w:ascii="宋体" w:hAnsi="宋体"/>
      <w:sz w:val="24"/>
    </w:rPr>
  </w:style>
  <w:style w:type="paragraph" w:styleId="10">
    <w:name w:val="Body Text"/>
    <w:basedOn w:val="1"/>
    <w:next w:val="1"/>
    <w:qFormat/>
    <w:uiPriority w:val="0"/>
    <w:rPr>
      <w:rFonts w:ascii="仿宋_GB2312" w:eastAsia="仿宋_GB2312"/>
      <w:sz w:val="32"/>
    </w:rPr>
  </w:style>
  <w:style w:type="paragraph" w:styleId="11">
    <w:name w:val="Normal Indent"/>
    <w:basedOn w:val="1"/>
    <w:qFormat/>
    <w:uiPriority w:val="0"/>
    <w:pPr>
      <w:adjustRightInd w:val="0"/>
      <w:snapToGrid w:val="0"/>
      <w:spacing w:line="360" w:lineRule="auto"/>
      <w:ind w:firstLine="420"/>
    </w:pPr>
    <w:rPr>
      <w:sz w:val="24"/>
    </w:rPr>
  </w:style>
  <w:style w:type="paragraph" w:styleId="12">
    <w:name w:val="Document Map"/>
    <w:basedOn w:val="1"/>
    <w:link w:val="68"/>
    <w:semiHidden/>
    <w:qFormat/>
    <w:uiPriority w:val="0"/>
    <w:rPr>
      <w:rFonts w:ascii="宋体"/>
      <w:sz w:val="18"/>
      <w:szCs w:val="18"/>
    </w:rPr>
  </w:style>
  <w:style w:type="paragraph" w:styleId="13">
    <w:name w:val="Body Text Indent"/>
    <w:basedOn w:val="1"/>
    <w:next w:val="1"/>
    <w:link w:val="67"/>
    <w:qFormat/>
    <w:uiPriority w:val="0"/>
    <w:pPr>
      <w:spacing w:line="700" w:lineRule="exact"/>
      <w:ind w:left="960"/>
    </w:pPr>
    <w:rPr>
      <w:sz w:val="44"/>
      <w:szCs w:val="20"/>
    </w:rPr>
  </w:style>
  <w:style w:type="paragraph" w:styleId="14">
    <w:name w:val="index 4"/>
    <w:basedOn w:val="1"/>
    <w:next w:val="1"/>
    <w:qFormat/>
    <w:uiPriority w:val="0"/>
    <w:pPr>
      <w:autoSpaceDE/>
      <w:autoSpaceDN/>
      <w:adjustRightInd/>
      <w:ind w:left="600" w:leftChars="600"/>
      <w:jc w:val="both"/>
    </w:pPr>
    <w:rPr>
      <w:rFonts w:hint="default" w:ascii="Verdana" w:hAnsi="Verdana"/>
      <w:kern w:val="2"/>
      <w:sz w:val="21"/>
      <w:szCs w:val="20"/>
    </w:rPr>
  </w:style>
  <w:style w:type="paragraph" w:styleId="15">
    <w:name w:val="toc 3"/>
    <w:basedOn w:val="1"/>
    <w:next w:val="1"/>
    <w:qFormat/>
    <w:uiPriority w:val="39"/>
    <w:pPr>
      <w:tabs>
        <w:tab w:val="right" w:leader="dot" w:pos="8303"/>
      </w:tabs>
      <w:spacing w:line="480" w:lineRule="exact"/>
      <w:ind w:left="1120" w:leftChars="400"/>
    </w:pPr>
    <w:rPr>
      <w:sz w:val="30"/>
      <w:szCs w:val="30"/>
    </w:rPr>
  </w:style>
  <w:style w:type="paragraph" w:styleId="16">
    <w:name w:val="Plain Text"/>
    <w:basedOn w:val="1"/>
    <w:link w:val="55"/>
    <w:qFormat/>
    <w:uiPriority w:val="0"/>
    <w:rPr>
      <w:rFonts w:ascii="宋体" w:hAnsi="Courier New"/>
    </w:rPr>
  </w:style>
  <w:style w:type="paragraph" w:styleId="17">
    <w:name w:val="Date"/>
    <w:basedOn w:val="1"/>
    <w:next w:val="1"/>
    <w:link w:val="63"/>
    <w:qFormat/>
    <w:uiPriority w:val="99"/>
    <w:rPr>
      <w:kern w:val="0"/>
    </w:rPr>
  </w:style>
  <w:style w:type="paragraph" w:styleId="18">
    <w:name w:val="Body Text Indent 2"/>
    <w:basedOn w:val="1"/>
    <w:link w:val="61"/>
    <w:qFormat/>
    <w:uiPriority w:val="0"/>
    <w:pPr>
      <w:spacing w:after="120" w:line="480" w:lineRule="auto"/>
      <w:ind w:left="420" w:leftChars="200"/>
    </w:pPr>
  </w:style>
  <w:style w:type="paragraph" w:styleId="19">
    <w:name w:val="Balloon Text"/>
    <w:basedOn w:val="1"/>
    <w:link w:val="66"/>
    <w:semiHidden/>
    <w:qFormat/>
    <w:uiPriority w:val="0"/>
    <w:rPr>
      <w:sz w:val="18"/>
      <w:szCs w:val="18"/>
    </w:rPr>
  </w:style>
  <w:style w:type="paragraph" w:styleId="20">
    <w:name w:val="footer"/>
    <w:basedOn w:val="1"/>
    <w:link w:val="59"/>
    <w:qFormat/>
    <w:uiPriority w:val="0"/>
    <w:pPr>
      <w:tabs>
        <w:tab w:val="center" w:pos="4153"/>
        <w:tab w:val="right" w:pos="8306"/>
      </w:tabs>
      <w:snapToGrid w:val="0"/>
      <w:jc w:val="left"/>
    </w:pPr>
    <w:rPr>
      <w:kern w:val="0"/>
      <w:sz w:val="18"/>
      <w:szCs w:val="18"/>
    </w:rPr>
  </w:style>
  <w:style w:type="paragraph" w:styleId="21">
    <w:name w:val="Body Text First Indent 2"/>
    <w:basedOn w:val="13"/>
    <w:qFormat/>
    <w:uiPriority w:val="0"/>
    <w:pPr>
      <w:widowControl w:val="0"/>
      <w:spacing w:before="0" w:after="120" w:line="320" w:lineRule="atLeast"/>
      <w:ind w:left="420" w:leftChars="200" w:right="0" w:firstLine="420" w:firstLineChars="200"/>
    </w:pPr>
    <w:rPr>
      <w:rFonts w:ascii="Times New Roman" w:hAnsi="Times New Roman" w:eastAsia="宋体" w:cs="Times New Roman"/>
      <w:sz w:val="18"/>
      <w:szCs w:val="18"/>
    </w:rPr>
  </w:style>
  <w:style w:type="paragraph" w:styleId="22">
    <w:name w:val="header"/>
    <w:basedOn w:val="1"/>
    <w:link w:val="5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23">
    <w:name w:val="index 9"/>
    <w:basedOn w:val="1"/>
    <w:next w:val="1"/>
    <w:semiHidden/>
    <w:qFormat/>
    <w:uiPriority w:val="0"/>
    <w:pPr>
      <w:ind w:left="1600" w:leftChars="1600" w:firstLine="0"/>
    </w:pPr>
  </w:style>
  <w:style w:type="paragraph" w:styleId="24">
    <w:name w:val="toc 2"/>
    <w:basedOn w:val="1"/>
    <w:next w:val="1"/>
    <w:qFormat/>
    <w:uiPriority w:val="39"/>
    <w:pPr>
      <w:tabs>
        <w:tab w:val="left" w:pos="915"/>
        <w:tab w:val="right" w:leader="dot" w:pos="8303"/>
      </w:tabs>
      <w:ind w:left="420" w:leftChars="200"/>
    </w:pPr>
    <w:rPr>
      <w:rFonts w:ascii="仿宋_GB2312" w:hAnsi="宋体" w:eastAsia="仿宋_GB2312" w:cs="方正仿宋_GBK"/>
    </w:rPr>
  </w:style>
  <w:style w:type="paragraph" w:styleId="2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27">
    <w:name w:val="Strong"/>
    <w:qFormat/>
    <w:locked/>
    <w:uiPriority w:val="0"/>
  </w:style>
  <w:style w:type="character" w:styleId="28">
    <w:name w:val="page number"/>
    <w:qFormat/>
    <w:uiPriority w:val="0"/>
    <w:rPr>
      <w:rFonts w:cs="Times New Roman"/>
    </w:rPr>
  </w:style>
  <w:style w:type="character" w:styleId="29">
    <w:name w:val="Hyperlink"/>
    <w:qFormat/>
    <w:uiPriority w:val="99"/>
    <w:rPr>
      <w:rFonts w:cs="Times New Roman"/>
      <w:color w:val="0000FF"/>
      <w:u w:val="single"/>
    </w:rPr>
  </w:style>
  <w:style w:type="character" w:styleId="30">
    <w:name w:val="annotation reference"/>
    <w:semiHidden/>
    <w:qFormat/>
    <w:uiPriority w:val="0"/>
    <w:rPr>
      <w:rFonts w:cs="Times New Roman"/>
      <w:sz w:val="21"/>
      <w:szCs w:val="21"/>
    </w:rPr>
  </w:style>
  <w:style w:type="table" w:styleId="32">
    <w:name w:val="Table Grid"/>
    <w:basedOn w:val="31"/>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Table Paragraph"/>
    <w:basedOn w:val="1"/>
    <w:qFormat/>
    <w:uiPriority w:val="1"/>
    <w:pPr>
      <w:ind w:left="107"/>
    </w:pPr>
  </w:style>
  <w:style w:type="paragraph" w:customStyle="1" w:styleId="34">
    <w:name w:val="1"/>
    <w:basedOn w:val="1"/>
    <w:next w:val="16"/>
    <w:qFormat/>
    <w:uiPriority w:val="99"/>
    <w:rPr>
      <w:rFonts w:ascii="宋体" w:hAnsi="Courier New"/>
      <w:szCs w:val="20"/>
    </w:rPr>
  </w:style>
  <w:style w:type="paragraph" w:customStyle="1" w:styleId="35">
    <w:name w:val="Quote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styleId="37">
    <w:name w:val="List Paragraph"/>
    <w:basedOn w:val="1"/>
    <w:qFormat/>
    <w:uiPriority w:val="0"/>
    <w:pPr>
      <w:ind w:firstLine="420" w:firstLineChars="200"/>
    </w:pPr>
    <w:rPr>
      <w:rFonts w:ascii="Calibri" w:hAnsi="Calibri"/>
      <w:sz w:val="21"/>
      <w:szCs w:val="22"/>
    </w:rPr>
  </w:style>
  <w:style w:type="paragraph" w:customStyle="1" w:styleId="38">
    <w:name w:val="表格正文"/>
    <w:basedOn w:val="1"/>
    <w:next w:val="1"/>
    <w:qFormat/>
    <w:uiPriority w:val="0"/>
    <w:pPr>
      <w:jc w:val="left"/>
    </w:pPr>
    <w:rPr>
      <w:rFonts w:ascii="Calibri" w:hAnsi="Calibri" w:eastAsia="宋体" w:cs="Calibri"/>
      <w:szCs w:val="24"/>
    </w:rPr>
  </w:style>
  <w:style w:type="paragraph" w:customStyle="1" w:styleId="39">
    <w:name w:val="列表段落1"/>
    <w:basedOn w:val="1"/>
    <w:qFormat/>
    <w:uiPriority w:val="34"/>
    <w:pPr>
      <w:ind w:firstLine="420" w:firstLineChars="200"/>
    </w:pPr>
    <w:rPr>
      <w:rFonts w:ascii="Calibri" w:hAnsi="Calibri" w:eastAsia="宋体" w:cs="Times New Roman"/>
      <w:sz w:val="21"/>
      <w:szCs w:val="24"/>
    </w:rPr>
  </w:style>
  <w:style w:type="paragraph" w:customStyle="1" w:styleId="40">
    <w:name w:val="图例"/>
    <w:basedOn w:val="1"/>
    <w:qFormat/>
    <w:uiPriority w:val="0"/>
    <w:pPr>
      <w:spacing w:before="120" w:after="120" w:line="360" w:lineRule="auto"/>
      <w:jc w:val="center"/>
    </w:pPr>
    <w:rPr>
      <w:rFonts w:eastAsia="仿宋_GB2312"/>
      <w:b/>
      <w:sz w:val="24"/>
    </w:rPr>
  </w:style>
  <w:style w:type="paragraph" w:customStyle="1" w:styleId="41">
    <w:name w:val="p0"/>
    <w:basedOn w:val="1"/>
    <w:qFormat/>
    <w:uiPriority w:val="0"/>
    <w:pPr>
      <w:widowControl/>
      <w:jc w:val="left"/>
    </w:pPr>
    <w:rPr>
      <w:rFonts w:ascii="宋体" w:hAnsi="宋体" w:cs="宋体"/>
      <w:kern w:val="0"/>
      <w:sz w:val="24"/>
      <w:szCs w:val="24"/>
    </w:rPr>
  </w:style>
  <w:style w:type="paragraph" w:customStyle="1" w:styleId="42">
    <w:name w:val="列出段落1"/>
    <w:basedOn w:val="1"/>
    <w:qFormat/>
    <w:uiPriority w:val="34"/>
    <w:pPr>
      <w:ind w:firstLine="420" w:firstLineChars="200"/>
    </w:pPr>
  </w:style>
  <w:style w:type="paragraph" w:customStyle="1" w:styleId="43">
    <w:name w:val="_Style 3"/>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44">
    <w:name w:val="无间隔1"/>
    <w:qFormat/>
    <w:uiPriority w:val="0"/>
    <w:rPr>
      <w:rFonts w:ascii="Times New Roman" w:hAnsi="Times New Roman" w:eastAsia="宋体" w:cs="Times New Roman"/>
      <w:sz w:val="22"/>
      <w:szCs w:val="22"/>
      <w:lang w:val="en-US" w:eastAsia="zh-CN" w:bidi="ar-SA"/>
    </w:rPr>
  </w:style>
  <w:style w:type="paragraph" w:customStyle="1" w:styleId="45">
    <w:name w:val="正文1"/>
    <w:basedOn w:val="1"/>
    <w:next w:val="1"/>
    <w:qFormat/>
    <w:uiPriority w:val="0"/>
    <w:pPr>
      <w:spacing w:line="300" w:lineRule="auto"/>
      <w:ind w:firstLine="200" w:firstLineChars="200"/>
    </w:pPr>
  </w:style>
  <w:style w:type="paragraph" w:customStyle="1" w:styleId="46">
    <w:name w:val="正文首行缩进1"/>
    <w:basedOn w:val="10"/>
    <w:qFormat/>
    <w:uiPriority w:val="0"/>
    <w:pPr>
      <w:adjustRightInd w:val="0"/>
      <w:spacing w:line="275" w:lineRule="atLeast"/>
      <w:ind w:firstLine="420"/>
      <w:textAlignment w:val="baseline"/>
    </w:pPr>
    <w:rPr>
      <w:rFonts w:ascii="宋体" w:eastAsia="楷体_GB2312"/>
      <w:sz w:val="24"/>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 w:type="paragraph" w:customStyle="1" w:styleId="48">
    <w:name w:val="List Paragraph1"/>
    <w:basedOn w:val="1"/>
    <w:qFormat/>
    <w:uiPriority w:val="99"/>
    <w:pPr>
      <w:ind w:firstLine="420" w:firstLineChars="200"/>
    </w:pPr>
  </w:style>
  <w:style w:type="paragraph" w:customStyle="1" w:styleId="49">
    <w:name w:val="默认"/>
    <w:qFormat/>
    <w:uiPriority w:val="0"/>
    <w:rPr>
      <w:rFonts w:ascii="Helvetica" w:hAnsi="Helvetica" w:eastAsia="Helvetica" w:cs="Helvetica"/>
      <w:color w:val="000000"/>
      <w:sz w:val="22"/>
      <w:szCs w:val="22"/>
      <w:lang w:val="en-US" w:eastAsia="zh-CN" w:bidi="ar-SA"/>
    </w:rPr>
  </w:style>
  <w:style w:type="paragraph" w:customStyle="1" w:styleId="50">
    <w:name w:val="_Style 7"/>
    <w:qFormat/>
    <w:uiPriority w:val="99"/>
    <w:pPr>
      <w:widowControl w:val="0"/>
      <w:ind w:firstLine="200" w:firstLineChars="200"/>
    </w:pPr>
    <w:rPr>
      <w:rFonts w:ascii="Calibri" w:hAnsi="Calibri" w:eastAsia="宋体" w:cs="Times New Roman"/>
      <w:kern w:val="2"/>
      <w:sz w:val="28"/>
      <w:szCs w:val="21"/>
      <w:lang w:val="en-US" w:eastAsia="zh-CN" w:bidi="ar-SA"/>
    </w:rPr>
  </w:style>
  <w:style w:type="paragraph" w:customStyle="1" w:styleId="51">
    <w:name w:val=" Char"/>
    <w:basedOn w:val="1"/>
    <w:qFormat/>
    <w:uiPriority w:val="0"/>
    <w:pPr>
      <w:widowControl/>
      <w:spacing w:after="160" w:line="240" w:lineRule="exact"/>
      <w:jc w:val="left"/>
    </w:pPr>
    <w:rPr>
      <w:szCs w:val="24"/>
    </w:rPr>
  </w:style>
  <w:style w:type="paragraph" w:styleId="5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3">
    <w:name w:val="A1"/>
    <w:basedOn w:val="1"/>
    <w:qFormat/>
    <w:uiPriority w:val="0"/>
    <w:pPr>
      <w:wordWrap w:val="0"/>
      <w:spacing w:line="360" w:lineRule="auto"/>
      <w:ind w:firstLine="200" w:firstLineChars="200"/>
      <w:jc w:val="left"/>
    </w:pPr>
    <w:rPr>
      <w:rFonts w:eastAsia="楷体"/>
      <w:sz w:val="24"/>
      <w:szCs w:val="22"/>
    </w:rPr>
  </w:style>
  <w:style w:type="character" w:customStyle="1" w:styleId="54">
    <w:name w:val="font01"/>
    <w:qFormat/>
    <w:uiPriority w:val="0"/>
    <w:rPr>
      <w:rFonts w:hint="eastAsia" w:ascii="宋体" w:hAnsi="宋体" w:eastAsia="宋体" w:cs="宋体"/>
      <w:color w:val="000000"/>
      <w:sz w:val="24"/>
      <w:szCs w:val="24"/>
      <w:u w:val="none"/>
    </w:rPr>
  </w:style>
  <w:style w:type="character" w:customStyle="1" w:styleId="55">
    <w:name w:val="纯文本 Char"/>
    <w:link w:val="16"/>
    <w:qFormat/>
    <w:uiPriority w:val="0"/>
    <w:rPr>
      <w:rFonts w:ascii="宋体" w:hAnsi="Courier New" w:cs="Courier New"/>
      <w:kern w:val="2"/>
      <w:sz w:val="21"/>
      <w:szCs w:val="21"/>
    </w:rPr>
  </w:style>
  <w:style w:type="character" w:customStyle="1" w:styleId="56">
    <w:name w:val="页眉 Char"/>
    <w:link w:val="22"/>
    <w:semiHidden/>
    <w:qFormat/>
    <w:locked/>
    <w:uiPriority w:val="0"/>
    <w:rPr>
      <w:rFonts w:cs="Times New Roman"/>
      <w:sz w:val="18"/>
      <w:szCs w:val="18"/>
    </w:rPr>
  </w:style>
  <w:style w:type="character" w:customStyle="1" w:styleId="57">
    <w:name w:val="批注主题 Char"/>
    <w:link w:val="7"/>
    <w:qFormat/>
    <w:locked/>
    <w:uiPriority w:val="0"/>
    <w:rPr>
      <w:rFonts w:cs="Times New Roman"/>
      <w:b/>
      <w:bCs/>
      <w:kern w:val="2"/>
      <w:sz w:val="21"/>
      <w:szCs w:val="21"/>
    </w:rPr>
  </w:style>
  <w:style w:type="character" w:customStyle="1" w:styleId="58">
    <w:name w:val="标题 2 Char"/>
    <w:link w:val="4"/>
    <w:semiHidden/>
    <w:qFormat/>
    <w:locked/>
    <w:uiPriority w:val="0"/>
    <w:rPr>
      <w:rFonts w:ascii="Cambria" w:hAnsi="Cambria" w:eastAsia="宋体" w:cs="Times New Roman"/>
      <w:b/>
      <w:bCs/>
      <w:sz w:val="32"/>
      <w:szCs w:val="32"/>
    </w:rPr>
  </w:style>
  <w:style w:type="character" w:customStyle="1" w:styleId="59">
    <w:name w:val="页脚 Char"/>
    <w:link w:val="20"/>
    <w:semiHidden/>
    <w:qFormat/>
    <w:locked/>
    <w:uiPriority w:val="0"/>
    <w:rPr>
      <w:rFonts w:cs="Times New Roman"/>
      <w:sz w:val="18"/>
      <w:szCs w:val="18"/>
    </w:rPr>
  </w:style>
  <w:style w:type="character" w:customStyle="1" w:styleId="60">
    <w:name w:val="标题 1 Char"/>
    <w:link w:val="3"/>
    <w:qFormat/>
    <w:locked/>
    <w:uiPriority w:val="0"/>
    <w:rPr>
      <w:rFonts w:cs="Times New Roman"/>
      <w:b/>
      <w:bCs/>
      <w:kern w:val="44"/>
      <w:sz w:val="44"/>
      <w:szCs w:val="44"/>
    </w:rPr>
  </w:style>
  <w:style w:type="character" w:customStyle="1" w:styleId="61">
    <w:name w:val="正文文本缩进 2 Char"/>
    <w:link w:val="18"/>
    <w:qFormat/>
    <w:uiPriority w:val="0"/>
    <w:rPr>
      <w:kern w:val="2"/>
      <w:sz w:val="21"/>
      <w:szCs w:val="21"/>
    </w:rPr>
  </w:style>
  <w:style w:type="character" w:customStyle="1" w:styleId="62">
    <w:name w:val="批注文字 Char"/>
    <w:link w:val="8"/>
    <w:qFormat/>
    <w:locked/>
    <w:uiPriority w:val="0"/>
    <w:rPr>
      <w:rFonts w:cs="Times New Roman"/>
      <w:kern w:val="2"/>
      <w:sz w:val="21"/>
      <w:szCs w:val="21"/>
    </w:rPr>
  </w:style>
  <w:style w:type="character" w:customStyle="1" w:styleId="63">
    <w:name w:val="日期 Char"/>
    <w:link w:val="17"/>
    <w:qFormat/>
    <w:locked/>
    <w:uiPriority w:val="99"/>
    <w:rPr>
      <w:rFonts w:cs="Times New Roman"/>
      <w:sz w:val="21"/>
      <w:szCs w:val="21"/>
    </w:rPr>
  </w:style>
  <w:style w:type="character" w:customStyle="1" w:styleId="64">
    <w:name w:val="标题 3 Char"/>
    <w:link w:val="5"/>
    <w:qFormat/>
    <w:locked/>
    <w:uiPriority w:val="0"/>
    <w:rPr>
      <w:rFonts w:cs="Times New Roman"/>
      <w:b/>
      <w:bCs/>
      <w:sz w:val="32"/>
      <w:szCs w:val="32"/>
    </w:rPr>
  </w:style>
  <w:style w:type="character" w:customStyle="1" w:styleId="65">
    <w:name w:val="apple-style-span"/>
    <w:qFormat/>
    <w:uiPriority w:val="0"/>
    <w:rPr>
      <w:rFonts w:cs="Times New Roman"/>
    </w:rPr>
  </w:style>
  <w:style w:type="character" w:customStyle="1" w:styleId="66">
    <w:name w:val="批注框文本 Char"/>
    <w:link w:val="19"/>
    <w:qFormat/>
    <w:locked/>
    <w:uiPriority w:val="0"/>
    <w:rPr>
      <w:rFonts w:cs="Times New Roman"/>
      <w:kern w:val="2"/>
      <w:sz w:val="18"/>
      <w:szCs w:val="18"/>
    </w:rPr>
  </w:style>
  <w:style w:type="character" w:customStyle="1" w:styleId="67">
    <w:name w:val="正文文本缩进 Char"/>
    <w:link w:val="13"/>
    <w:qFormat/>
    <w:uiPriority w:val="0"/>
    <w:rPr>
      <w:kern w:val="2"/>
      <w:sz w:val="44"/>
    </w:rPr>
  </w:style>
  <w:style w:type="character" w:customStyle="1" w:styleId="68">
    <w:name w:val="文档结构图 Char"/>
    <w:link w:val="12"/>
    <w:qFormat/>
    <w:locked/>
    <w:uiPriority w:val="0"/>
    <w:rPr>
      <w:rFonts w:ascii="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9906</Words>
  <Characters>10286</Characters>
  <Lines>79</Lines>
  <Paragraphs>22</Paragraphs>
  <TotalTime>0</TotalTime>
  <ScaleCrop>false</ScaleCrop>
  <LinksUpToDate>false</LinksUpToDate>
  <CharactersWithSpaces>11384</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2022-06-17T02:13:00Z</dcterms:created>
  <dc:creator>user</dc:creator>
  <cp:lastModifiedBy>Administrator</cp:lastModifiedBy>
  <cp:lastPrinted>2026-03-16T01:32:00Z</cp:lastPrinted>
  <dcterms:modified xsi:type="dcterms:W3CDTF">2026-03-27T07:14:54Z</dcterms:modified>
  <dc:title>询价采购文件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E09F64C8AA6A4AED9BCA045377BFB409_13</vt:lpwstr>
  </property>
  <property fmtid="{D5CDD505-2E9C-101B-9397-08002B2CF9AE}" pid="4" name="KSOTemplateDocerSaveRecord">
    <vt:lpwstr>eyJoZGlkIjoiZTYzNGNjY2M5YjQ3MmJhOWJmYWY0YmNhZDZkODNjMmYiLCJ1c2VySWQiOiI0NDI3ODE4NzMifQ==</vt:lpwstr>
  </property>
</Properties>
</file>